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466F01" w14:paraId="59B07830" w14:textId="77777777" w:rsidTr="00C56967">
        <w:trPr>
          <w:trHeight w:hRule="exact" w:val="170"/>
        </w:trPr>
        <w:tc>
          <w:tcPr>
            <w:tcW w:w="7434" w:type="dxa"/>
          </w:tcPr>
          <w:p w14:paraId="34F0B814" w14:textId="77777777" w:rsidR="006D1744" w:rsidRPr="00466F01" w:rsidRDefault="006D1744" w:rsidP="00D25CF2">
            <w:pPr>
              <w:pStyle w:val="GSIAbs"/>
              <w:jc w:val="both"/>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0BC32481" wp14:editId="585C11C6">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C32481"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v:textbox>
                    </v:shape>
                  </w:pict>
                </mc:Fallback>
              </mc:AlternateContent>
            </w:r>
          </w:p>
        </w:tc>
        <w:tc>
          <w:tcPr>
            <w:tcW w:w="3107" w:type="dxa"/>
            <w:vMerge w:val="restart"/>
          </w:tcPr>
          <w:p w14:paraId="11D2A92A" w14:textId="77777777" w:rsidR="006D1744" w:rsidRPr="00466F01" w:rsidRDefault="006D1744" w:rsidP="00D25CF2">
            <w:pPr>
              <w:pStyle w:val="GSIAdr"/>
              <w:spacing w:before="120"/>
              <w:jc w:val="both"/>
              <w:rPr>
                <w:rFonts w:ascii="Calibri" w:hAnsi="Calibri"/>
                <w:lang w:val="en-GB"/>
              </w:rPr>
            </w:pPr>
          </w:p>
        </w:tc>
      </w:tr>
      <w:tr w:rsidR="006D1744" w:rsidRPr="00466F01" w14:paraId="29E6C7D6" w14:textId="77777777" w:rsidTr="00C56967">
        <w:trPr>
          <w:trHeight w:hRule="exact" w:val="3062"/>
        </w:trPr>
        <w:tc>
          <w:tcPr>
            <w:tcW w:w="7434" w:type="dxa"/>
          </w:tcPr>
          <w:p w14:paraId="61FFB1A9" w14:textId="77777777" w:rsidR="00F570D3" w:rsidRPr="00466F01" w:rsidRDefault="006D1744" w:rsidP="00D25CF2">
            <w:pPr>
              <w:pStyle w:val="GSIEmpf"/>
              <w:jc w:val="both"/>
              <w:rPr>
                <w:rFonts w:ascii="Calibri" w:hAnsi="Calibri"/>
                <w:sz w:val="24"/>
                <w:szCs w:val="24"/>
                <w:lang w:val="en-GB"/>
              </w:rPr>
            </w:pPr>
            <w:r w:rsidRPr="00466F01">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5F22B983" wp14:editId="5233B599">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2B983"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v:textbox>
                    </v:shape>
                  </w:pict>
                </mc:Fallback>
              </mc:AlternateContent>
            </w:r>
          </w:p>
          <w:p w14:paraId="294F93A3" w14:textId="77777777" w:rsidR="00F570D3" w:rsidRPr="00466F01" w:rsidRDefault="00F570D3" w:rsidP="00F570D3">
            <w:pPr>
              <w:rPr>
                <w:lang w:val="en-GB"/>
              </w:rPr>
            </w:pPr>
          </w:p>
          <w:p w14:paraId="6CDF95A0" w14:textId="77777777" w:rsidR="00F570D3" w:rsidRPr="00466F01" w:rsidRDefault="00F570D3" w:rsidP="00F570D3">
            <w:pPr>
              <w:rPr>
                <w:lang w:val="en-GB"/>
              </w:rPr>
            </w:pPr>
          </w:p>
          <w:p w14:paraId="587C0AEB" w14:textId="77777777" w:rsidR="00F570D3" w:rsidRPr="00466F01" w:rsidRDefault="00F570D3" w:rsidP="00F570D3">
            <w:pPr>
              <w:rPr>
                <w:lang w:val="en-GB"/>
              </w:rPr>
            </w:pPr>
          </w:p>
          <w:p w14:paraId="29BBB383" w14:textId="77777777" w:rsidR="006D1744" w:rsidRPr="00466F01" w:rsidRDefault="00A52A01" w:rsidP="00F570D3">
            <w:pPr>
              <w:rPr>
                <w:lang w:val="en-GB"/>
              </w:rPr>
            </w:pPr>
            <w:r w:rsidRPr="00466F01">
              <w:rPr>
                <w:rFonts w:ascii="Calibri" w:hAnsi="Calibri"/>
                <w:b/>
                <w:sz w:val="24"/>
                <w:szCs w:val="24"/>
                <w:lang w:val="en-GB"/>
              </w:rPr>
              <w:t>To All Bidders</w:t>
            </w:r>
          </w:p>
        </w:tc>
        <w:tc>
          <w:tcPr>
            <w:tcW w:w="3107" w:type="dxa"/>
            <w:vMerge/>
          </w:tcPr>
          <w:p w14:paraId="20E26FC6" w14:textId="77777777" w:rsidR="006D1744" w:rsidRPr="00466F01" w:rsidRDefault="006D1744" w:rsidP="00D25CF2">
            <w:pPr>
              <w:jc w:val="both"/>
              <w:rPr>
                <w:rFonts w:ascii="Calibri" w:hAnsi="Calibri"/>
                <w:lang w:val="en-GB"/>
              </w:rPr>
            </w:pPr>
          </w:p>
        </w:tc>
      </w:tr>
      <w:tr w:rsidR="006D1744" w:rsidRPr="00466F01" w14:paraId="7E09919E" w14:textId="77777777" w:rsidTr="00C56967">
        <w:trPr>
          <w:trHeight w:val="964"/>
        </w:trPr>
        <w:tc>
          <w:tcPr>
            <w:tcW w:w="7434" w:type="dxa"/>
          </w:tcPr>
          <w:p w14:paraId="158D2C78" w14:textId="77777777" w:rsidR="006D1744" w:rsidRPr="00466F01" w:rsidRDefault="006D1744" w:rsidP="00D25CF2">
            <w:pPr>
              <w:pStyle w:val="berschrift2"/>
              <w:numPr>
                <w:ilvl w:val="0"/>
                <w:numId w:val="0"/>
              </w:numPr>
              <w:jc w:val="both"/>
              <w:outlineLvl w:val="1"/>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24CA94B6" wp14:editId="0AB7D3B3">
                      <wp:simplePos x="0" y="0"/>
                      <wp:positionH relativeFrom="column">
                        <wp:posOffset>-89535</wp:posOffset>
                      </wp:positionH>
                      <wp:positionV relativeFrom="paragraph">
                        <wp:posOffset>-2413000</wp:posOffset>
                      </wp:positionV>
                      <wp:extent cx="4857702" cy="1438275"/>
                      <wp:effectExtent l="0" t="0" r="635" b="9525"/>
                      <wp:wrapNone/>
                      <wp:docPr id="9" name="Textfeld 9"/>
                      <wp:cNvGraphicFramePr/>
                      <a:graphic xmlns:a="http://schemas.openxmlformats.org/drawingml/2006/main">
                        <a:graphicData uri="http://schemas.microsoft.com/office/word/2010/wordprocessingShape">
                          <wps:wsp>
                            <wps:cNvSpPr txBox="1"/>
                            <wps:spPr>
                              <a:xfrm>
                                <a:off x="0" y="0"/>
                                <a:ext cx="4857702" cy="1438275"/>
                              </a:xfrm>
                              <a:prstGeom prst="rect">
                                <a:avLst/>
                              </a:prstGeom>
                              <a:solidFill>
                                <a:schemeClr val="lt1"/>
                              </a:solidFill>
                              <a:ln w="6350">
                                <a:noFill/>
                              </a:ln>
                            </wps:spPr>
                            <wps:txb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0" w:name="_Hlk52274732"/>
                                  <w:r w:rsidRPr="00501A8D">
                                    <w:rPr>
                                      <w:i/>
                                      <w:sz w:val="16"/>
                                      <w:szCs w:val="16"/>
                                      <w:lang w:val="en-GB"/>
                                    </w:rPr>
                                    <w:t>For reasons of readability, the language forms male, female and diverse (m/f/d) are not used concurrently. All gender markings and pronouns apply equally to all genders.</w:t>
                                  </w:r>
                                </w:p>
                                <w:bookmarkEnd w:id="0"/>
                                <w:p w14:paraId="1AA95B2E" w14:textId="77777777" w:rsidR="006D1744" w:rsidRPr="00A52A01" w:rsidRDefault="006D1744" w:rsidP="006D174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A94B6" id="Textfeld 9" o:spid="_x0000_s1028" type="#_x0000_t202" style="position:absolute;left:0;text-align:left;margin-left:-7.05pt;margin-top:-190pt;width:382.5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" fillcolor="white [3201]" stroked="f" strokeweight=".5pt">
                      <v:textbo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1" w:name="_Hlk52274732"/>
                            <w:r w:rsidRPr="00501A8D">
                              <w:rPr>
                                <w:i/>
                                <w:sz w:val="16"/>
                                <w:szCs w:val="16"/>
                                <w:lang w:val="en-GB"/>
                              </w:rPr>
                              <w:t>For reasons of readability, the language forms male, female and diverse (m/f/d) are not used concurrently. All gender markings and pronouns apply equally to all genders.</w:t>
                            </w:r>
                          </w:p>
                          <w:bookmarkEnd w:id="1"/>
                          <w:p w14:paraId="1AA95B2E" w14:textId="77777777" w:rsidR="006D1744" w:rsidRPr="00A52A01" w:rsidRDefault="006D1744" w:rsidP="006D1744">
                            <w:pPr>
                              <w:rPr>
                                <w:lang w:val="en-GB"/>
                              </w:rPr>
                            </w:pPr>
                          </w:p>
                        </w:txbxContent>
                      </v:textbox>
                    </v:shape>
                  </w:pict>
                </mc:Fallback>
              </mc:AlternateContent>
            </w:r>
          </w:p>
        </w:tc>
        <w:tc>
          <w:tcPr>
            <w:tcW w:w="3107" w:type="dxa"/>
            <w:vMerge/>
          </w:tcPr>
          <w:p w14:paraId="63EFB542" w14:textId="77777777" w:rsidR="006D1744" w:rsidRPr="00466F01" w:rsidRDefault="006D1744" w:rsidP="00D25CF2">
            <w:pPr>
              <w:jc w:val="both"/>
              <w:rPr>
                <w:rFonts w:ascii="Calibri" w:hAnsi="Calibri"/>
                <w:lang w:val="en-GB"/>
              </w:rPr>
            </w:pPr>
          </w:p>
        </w:tc>
      </w:tr>
    </w:tbl>
    <w:p w14:paraId="50246923" w14:textId="1DF3FFEA" w:rsidR="0080105F" w:rsidRPr="00466F01" w:rsidRDefault="00292F6E" w:rsidP="00D25CF2">
      <w:pPr>
        <w:tabs>
          <w:tab w:val="left" w:pos="7371"/>
        </w:tabs>
        <w:jc w:val="both"/>
        <w:rPr>
          <w:rFonts w:ascii="Calibri" w:hAnsi="Calibri" w:cs="Arial"/>
          <w:sz w:val="22"/>
          <w:lang w:val="en-GB"/>
        </w:rPr>
      </w:pPr>
      <w:r w:rsidRPr="006B773E">
        <w:rPr>
          <w:rFonts w:ascii="Calibri" w:hAnsi="Calibri" w:cs="Arial"/>
          <w:b/>
          <w:noProof/>
          <w:color w:val="548DD4" w:themeColor="text2" w:themeTint="99"/>
          <w:sz w:val="22"/>
          <w:lang w:eastAsia="de-DE"/>
        </w:rPr>
        <mc:AlternateContent>
          <mc:Choice Requires="wps">
            <w:drawing>
              <wp:anchor distT="0" distB="0" distL="114300" distR="114300" simplePos="0" relativeHeight="251663360" behindDoc="0" locked="0" layoutInCell="1" allowOverlap="1" wp14:anchorId="1A274655" wp14:editId="07A1C408">
                <wp:simplePos x="0" y="0"/>
                <wp:positionH relativeFrom="rightMargin">
                  <wp:posOffset>-5080</wp:posOffset>
                </wp:positionH>
                <wp:positionV relativeFrom="paragraph">
                  <wp:posOffset>305104</wp:posOffset>
                </wp:positionV>
                <wp:extent cx="1923415" cy="2035810"/>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415" cy="2035810"/>
                        </a:xfrm>
                        <a:prstGeom prst="rect">
                          <a:avLst/>
                        </a:prstGeom>
                        <a:solidFill>
                          <a:sysClr val="window" lastClr="FFFFFF"/>
                        </a:solidFill>
                        <a:ln w="6350">
                          <a:noFill/>
                        </a:ln>
                      </wps:spPr>
                      <wps:txb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74655" id="Textfeld 10" o:spid="_x0000_s1029" type="#_x0000_t202" style="position:absolute;left:0;text-align:left;margin-left:-.4pt;margin-top:24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" fillcolor="window" stroked="f" strokeweight=".5pt">
                <v:textbo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v:textbox>
                <w10:wrap anchorx="margin"/>
              </v:shape>
            </w:pict>
          </mc:Fallback>
        </mc:AlternateContent>
      </w:r>
    </w:p>
    <w:p w14:paraId="1FE23E9B" w14:textId="559706FD" w:rsidR="00463C55" w:rsidRPr="00466F01" w:rsidRDefault="00A52A01" w:rsidP="00A52A01">
      <w:pPr>
        <w:tabs>
          <w:tab w:val="left" w:pos="7371"/>
        </w:tabs>
        <w:spacing w:line="278" w:lineRule="auto"/>
        <w:rPr>
          <w:rFonts w:ascii="Calibri" w:eastAsia="Calibri" w:hAnsi="Calibri" w:cs="Calibri"/>
          <w:b/>
          <w:color w:val="548DD4"/>
          <w:sz w:val="22"/>
          <w:lang w:val="en-GB"/>
        </w:rPr>
      </w:pPr>
      <w:r w:rsidRPr="00466F01">
        <w:rPr>
          <w:rFonts w:ascii="Calibri" w:eastAsia="Calibri" w:hAnsi="Calibri" w:cs="Calibri"/>
          <w:b/>
          <w:color w:val="548DD4"/>
          <w:sz w:val="22"/>
          <w:lang w:val="en-GB"/>
        </w:rPr>
        <w:t xml:space="preserve">Special Application Requirements for the </w:t>
      </w:r>
      <w:r w:rsidR="001102D6" w:rsidRPr="00466F01">
        <w:rPr>
          <w:rFonts w:ascii="Calibri" w:eastAsia="Calibri" w:hAnsi="Calibri" w:cs="Calibri"/>
          <w:b/>
          <w:color w:val="548DD4"/>
          <w:sz w:val="22"/>
          <w:lang w:val="en-GB"/>
        </w:rPr>
        <w:t>Open</w:t>
      </w:r>
      <w:r w:rsidRPr="00466F01">
        <w:rPr>
          <w:rFonts w:ascii="Calibri" w:eastAsia="Calibri" w:hAnsi="Calibri" w:cs="Calibri"/>
          <w:b/>
          <w:color w:val="548DD4"/>
          <w:sz w:val="22"/>
          <w:lang w:val="en-GB"/>
        </w:rPr>
        <w:t xml:space="preserve"> </w:t>
      </w:r>
      <w:r w:rsidR="00C47B75" w:rsidRPr="00466F01">
        <w:rPr>
          <w:rFonts w:ascii="Calibri" w:eastAsia="Calibri" w:hAnsi="Calibri" w:cs="Calibri"/>
          <w:b/>
          <w:color w:val="548DD4"/>
          <w:sz w:val="22"/>
          <w:lang w:val="en-GB"/>
        </w:rPr>
        <w:t xml:space="preserve">Procedure </w:t>
      </w:r>
      <w:r w:rsidRPr="00466F01">
        <w:rPr>
          <w:rFonts w:ascii="Calibri" w:eastAsia="Calibri" w:hAnsi="Calibri" w:cs="Calibri"/>
          <w:b/>
          <w:color w:val="548DD4"/>
          <w:sz w:val="22"/>
          <w:lang w:val="en-GB"/>
        </w:rPr>
        <w:t>According to § 1</w:t>
      </w:r>
      <w:r w:rsidR="001102D6" w:rsidRPr="00466F01">
        <w:rPr>
          <w:rFonts w:ascii="Calibri" w:eastAsia="Calibri" w:hAnsi="Calibri" w:cs="Calibri"/>
          <w:b/>
          <w:color w:val="548DD4"/>
          <w:sz w:val="22"/>
          <w:lang w:val="en-GB"/>
        </w:rPr>
        <w:t>5</w:t>
      </w:r>
      <w:r w:rsidRPr="00466F01">
        <w:rPr>
          <w:rFonts w:ascii="Calibri" w:eastAsia="Calibri" w:hAnsi="Calibri" w:cs="Calibri"/>
          <w:b/>
          <w:color w:val="548DD4"/>
          <w:sz w:val="22"/>
          <w:lang w:val="en-GB"/>
        </w:rPr>
        <w:t xml:space="preserve"> </w:t>
      </w:r>
      <w:proofErr w:type="spellStart"/>
      <w:r w:rsidRPr="00466F01">
        <w:rPr>
          <w:rFonts w:ascii="Calibri" w:eastAsia="Calibri" w:hAnsi="Calibri" w:cs="Calibri"/>
          <w:b/>
          <w:color w:val="548DD4"/>
          <w:sz w:val="22"/>
          <w:lang w:val="en-GB"/>
        </w:rPr>
        <w:t>VgV</w:t>
      </w:r>
      <w:proofErr w:type="spellEnd"/>
      <w:r w:rsidR="005D2C7E" w:rsidRPr="00466F01">
        <w:rPr>
          <w:rFonts w:ascii="Calibri" w:eastAsia="Calibri" w:hAnsi="Calibri" w:cs="Calibri"/>
          <w:b/>
          <w:color w:val="548DD4"/>
          <w:sz w:val="22"/>
          <w:lang w:val="en-GB"/>
        </w:rPr>
        <w:t xml:space="preserve"> </w:t>
      </w:r>
      <w:bookmarkStart w:id="2" w:name="_Hlk55303594"/>
      <w:r w:rsidR="005D2C7E" w:rsidRPr="00466F01">
        <w:rPr>
          <w:rFonts w:ascii="Calibri" w:eastAsia="Calibri" w:hAnsi="Calibri" w:cs="Calibri"/>
          <w:b/>
          <w:color w:val="548DD4"/>
          <w:sz w:val="22"/>
          <w:lang w:val="en-GB"/>
        </w:rPr>
        <w:t>[Ordinance on the Award of Public Contracts (Procurement Ordinance)]</w:t>
      </w:r>
    </w:p>
    <w:bookmarkEnd w:id="2"/>
    <w:p w14:paraId="45888072" w14:textId="77777777" w:rsidR="00A52A01"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eastAsia="Calibri" w:hAnsi="Calibri" w:cs="Calibri"/>
          <w:sz w:val="22"/>
          <w:lang w:val="en-GB"/>
        </w:rPr>
        <w:t>To whom it may concern,</w:t>
      </w:r>
    </w:p>
    <w:p w14:paraId="20B481D6" w14:textId="3E09A66C" w:rsidR="00463C55"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hAnsi="Calibri" w:cs="Arial"/>
          <w:sz w:val="22"/>
          <w:lang w:val="en-GB"/>
        </w:rPr>
        <w:t xml:space="preserve">FAIR - Facility for Antiproton and Ion Research in Europe GmbH </w:t>
      </w:r>
      <w:r w:rsidRPr="00466F01">
        <w:rPr>
          <w:rFonts w:ascii="Calibri" w:eastAsia="Calibri" w:hAnsi="Calibri" w:cs="Calibri"/>
          <w:sz w:val="22"/>
          <w:lang w:val="en-GB"/>
        </w:rPr>
        <w:t xml:space="preserve">(hereinafter referred to as "FAIR", "Awarding Authority" or "Client") </w:t>
      </w:r>
      <w:bookmarkStart w:id="3" w:name="_Hlk55303409"/>
      <w:r w:rsidRPr="00466F01">
        <w:rPr>
          <w:rFonts w:ascii="Calibri" w:eastAsia="Calibri" w:hAnsi="Calibri" w:cs="Calibri"/>
          <w:sz w:val="22"/>
          <w:lang w:val="en-GB"/>
        </w:rPr>
        <w:t>conducts a</w:t>
      </w:r>
      <w:r w:rsidR="00593F04">
        <w:rPr>
          <w:rFonts w:ascii="Calibri" w:eastAsia="Calibri" w:hAnsi="Calibri" w:cs="Calibri"/>
          <w:sz w:val="22"/>
          <w:lang w:val="en-GB"/>
        </w:rPr>
        <w:t xml:space="preserve">n open </w:t>
      </w:r>
      <w:r w:rsidRPr="00466F01">
        <w:rPr>
          <w:rFonts w:ascii="Calibri" w:eastAsia="Calibri" w:hAnsi="Calibri" w:cs="Calibri"/>
          <w:sz w:val="22"/>
          <w:lang w:val="en-GB"/>
        </w:rPr>
        <w:t>procedure according to § 1</w:t>
      </w:r>
      <w:r w:rsidR="001102D6" w:rsidRPr="00466F01">
        <w:rPr>
          <w:rFonts w:ascii="Calibri" w:eastAsia="Calibri" w:hAnsi="Calibri" w:cs="Calibri"/>
          <w:sz w:val="22"/>
          <w:lang w:val="en-GB"/>
        </w:rPr>
        <w:t>5</w:t>
      </w:r>
      <w:r w:rsidRPr="00466F01">
        <w:rPr>
          <w:rFonts w:ascii="Calibri" w:eastAsia="Calibri" w:hAnsi="Calibri" w:cs="Calibri"/>
          <w:sz w:val="22"/>
          <w:lang w:val="en-GB"/>
        </w:rPr>
        <w:t xml:space="preserve">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 xml:space="preserve"> [transl.: </w:t>
      </w:r>
      <w:r w:rsidR="0077315C" w:rsidRPr="0077315C">
        <w:rPr>
          <w:rFonts w:ascii="Calibri" w:eastAsia="Calibri" w:hAnsi="Calibri" w:cs="Calibri"/>
          <w:sz w:val="22"/>
          <w:lang w:val="en-GB"/>
        </w:rPr>
        <w:t>Ordinance on the Award of Public Contracts (Procurement Ordinance)</w:t>
      </w:r>
      <w:r w:rsidRPr="00466F01">
        <w:rPr>
          <w:rFonts w:ascii="Calibri" w:eastAsia="Calibri" w:hAnsi="Calibri" w:cs="Calibri"/>
          <w:sz w:val="22"/>
          <w:lang w:val="en-GB"/>
        </w:rPr>
        <w:t>], §</w:t>
      </w:r>
      <w:r w:rsidR="0077315C">
        <w:rPr>
          <w:rFonts w:ascii="Calibri" w:eastAsia="Calibri" w:hAnsi="Calibri" w:cs="Calibri"/>
          <w:sz w:val="22"/>
          <w:lang w:val="en-GB"/>
        </w:rPr>
        <w:t> 119 para. 3 GWB [transl.: Act a</w:t>
      </w:r>
      <w:r w:rsidRPr="00466F01">
        <w:rPr>
          <w:rFonts w:ascii="Calibri" w:eastAsia="Calibri" w:hAnsi="Calibri" w:cs="Calibri"/>
          <w:sz w:val="22"/>
          <w:lang w:val="en-GB"/>
        </w:rPr>
        <w:t xml:space="preserve">gainst Restraints of Competition] for the tender </w:t>
      </w:r>
      <w:r w:rsidR="003F41E7" w:rsidRPr="003F41E7">
        <w:rPr>
          <w:rFonts w:ascii="Calibri" w:eastAsia="Calibri" w:hAnsi="Calibri" w:cs="Calibri"/>
          <w:sz w:val="22"/>
          <w:lang w:val="en-GB"/>
        </w:rPr>
        <w:t>38/260008999FAIR</w:t>
      </w:r>
      <w:r w:rsidR="003F41E7">
        <w:rPr>
          <w:rFonts w:ascii="Calibri" w:eastAsia="Calibri" w:hAnsi="Calibri" w:cs="Calibri"/>
          <w:sz w:val="22"/>
          <w:lang w:val="en-GB"/>
        </w:rPr>
        <w:t xml:space="preserve"> </w:t>
      </w:r>
      <w:r w:rsidR="003F41E7" w:rsidRPr="003F41E7">
        <w:rPr>
          <w:rFonts w:ascii="Calibri" w:eastAsia="Calibri" w:hAnsi="Calibri" w:cs="Calibri"/>
          <w:sz w:val="22"/>
          <w:lang w:val="en-GB"/>
        </w:rPr>
        <w:t xml:space="preserve">Micro-alignment Telescopes with Camera </w:t>
      </w:r>
      <w:proofErr w:type="spellStart"/>
      <w:r w:rsidR="003F41E7" w:rsidRPr="003F41E7">
        <w:rPr>
          <w:rFonts w:ascii="Calibri" w:eastAsia="Calibri" w:hAnsi="Calibri" w:cs="Calibri"/>
          <w:sz w:val="22"/>
          <w:lang w:val="en-GB"/>
        </w:rPr>
        <w:t>system</w:t>
      </w:r>
      <w:r w:rsidRPr="00466F01">
        <w:rPr>
          <w:rFonts w:ascii="Calibri" w:eastAsia="Calibri" w:hAnsi="Calibri" w:cs="Calibri"/>
          <w:sz w:val="22"/>
          <w:lang w:val="en-GB"/>
        </w:rPr>
        <w:t>under</w:t>
      </w:r>
      <w:proofErr w:type="spellEnd"/>
      <w:r w:rsidRPr="00466F01">
        <w:rPr>
          <w:rFonts w:ascii="Calibri" w:eastAsia="Calibri" w:hAnsi="Calibri" w:cs="Calibri"/>
          <w:sz w:val="22"/>
          <w:lang w:val="en-GB"/>
        </w:rPr>
        <w:t xml:space="preserve"> the following conditions:</w:t>
      </w:r>
    </w:p>
    <w:p w14:paraId="47E5C236" w14:textId="77777777" w:rsidR="00A52A01" w:rsidRPr="00466F01" w:rsidRDefault="00A52A01" w:rsidP="00A52A01">
      <w:pPr>
        <w:keepNext/>
        <w:spacing w:line="278" w:lineRule="auto"/>
        <w:ind w:right="369"/>
        <w:rPr>
          <w:rFonts w:ascii="Calibri" w:eastAsia="Calibri" w:hAnsi="Calibri" w:cs="Calibri"/>
          <w:b/>
          <w:sz w:val="22"/>
          <w:lang w:val="en-GB"/>
        </w:rPr>
      </w:pPr>
      <w:r w:rsidRPr="00466F01">
        <w:rPr>
          <w:rFonts w:ascii="Calibri" w:eastAsia="Calibri" w:hAnsi="Calibri" w:cs="Calibri"/>
          <w:b/>
          <w:sz w:val="22"/>
          <w:lang w:val="en-GB"/>
        </w:rPr>
        <w:t>0. Notification of Ambiguities in the Tender Documents</w:t>
      </w:r>
    </w:p>
    <w:p w14:paraId="2F60F11B" w14:textId="7C4AA7BE" w:rsidR="001102D6" w:rsidRPr="00466F01" w:rsidRDefault="00A52A01" w:rsidP="001102D6">
      <w:pPr>
        <w:spacing w:line="278" w:lineRule="auto"/>
        <w:ind w:right="369"/>
        <w:rPr>
          <w:rFonts w:ascii="Calibri" w:eastAsia="Calibri" w:hAnsi="Calibri" w:cs="Calibri"/>
          <w:sz w:val="22"/>
          <w:lang w:val="en-GB"/>
        </w:rPr>
      </w:pPr>
      <w:r w:rsidRPr="00466F01">
        <w:rPr>
          <w:rFonts w:ascii="Calibri" w:eastAsia="Calibri" w:hAnsi="Calibri" w:cs="Calibri"/>
          <w:sz w:val="22"/>
          <w:lang w:val="en-GB"/>
        </w:rPr>
        <w:t xml:space="preserve">After receiving the tender documents,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 must check them for completeness. If the tender documents are incomplete or if they contain ambiguities in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's opinion, </w:t>
      </w:r>
      <w:r w:rsidR="00977613" w:rsidRPr="00466F01">
        <w:rPr>
          <w:rFonts w:ascii="Calibri" w:eastAsia="Calibri" w:hAnsi="Calibri" w:cs="Calibri"/>
          <w:sz w:val="22"/>
          <w:lang w:val="en-GB"/>
        </w:rPr>
        <w:t>Bidd</w:t>
      </w:r>
      <w:r w:rsidRPr="00466F01">
        <w:rPr>
          <w:rFonts w:ascii="Calibri" w:eastAsia="Calibri" w:hAnsi="Calibri" w:cs="Calibri"/>
          <w:sz w:val="22"/>
          <w:lang w:val="en-GB"/>
        </w:rPr>
        <w:t>e</w:t>
      </w:r>
      <w:r w:rsidR="00977613" w:rsidRPr="00466F01">
        <w:rPr>
          <w:rFonts w:ascii="Calibri" w:eastAsia="Calibri" w:hAnsi="Calibri" w:cs="Calibri"/>
          <w:sz w:val="22"/>
          <w:lang w:val="en-GB"/>
        </w:rPr>
        <w:t>r</w:t>
      </w:r>
      <w:r w:rsidRPr="00466F01">
        <w:rPr>
          <w:rFonts w:ascii="Calibri" w:eastAsia="Calibri" w:hAnsi="Calibri" w:cs="Calibri"/>
          <w:sz w:val="22"/>
          <w:lang w:val="en-GB"/>
        </w:rPr>
        <w:t xml:space="preserve"> must immediately inform Awarding Authority before submitting the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via DTVP [transl.: German Awarding Platform].</w:t>
      </w:r>
    </w:p>
    <w:p w14:paraId="4CB5DC0C" w14:textId="521DD5A0" w:rsidR="00A52A01" w:rsidRPr="00466F01" w:rsidRDefault="001102D6" w:rsidP="00200589">
      <w:pPr>
        <w:pStyle w:val="Listenabsatz"/>
        <w:numPr>
          <w:ilvl w:val="0"/>
          <w:numId w:val="9"/>
        </w:numPr>
        <w:spacing w:line="278" w:lineRule="auto"/>
        <w:ind w:right="369"/>
        <w:rPr>
          <w:rFonts w:eastAsia="Calibri" w:cs="Calibri"/>
          <w:lang w:val="en-GB"/>
        </w:rPr>
      </w:pPr>
      <w:r w:rsidRPr="00466F01">
        <w:rPr>
          <w:rFonts w:eastAsia="Calibri" w:cs="Calibri"/>
          <w:b/>
          <w:lang w:val="en-GB"/>
        </w:rPr>
        <w:t>Tender Documents and Components of the Tender</w:t>
      </w:r>
    </w:p>
    <w:p w14:paraId="12307A42" w14:textId="77777777" w:rsidR="001102D6" w:rsidRPr="00466F01" w:rsidRDefault="001102D6" w:rsidP="001102D6">
      <w:pPr>
        <w:spacing w:after="200" w:line="276" w:lineRule="auto"/>
        <w:rPr>
          <w:rFonts w:ascii="Calibri" w:eastAsia="Calibri" w:hAnsi="Calibri" w:cs="Calibri"/>
          <w:sz w:val="22"/>
          <w:lang w:val="en-GB"/>
        </w:rPr>
      </w:pPr>
      <w:r w:rsidRPr="00466F01">
        <w:rPr>
          <w:rFonts w:ascii="Calibri" w:eastAsia="Calibri" w:hAnsi="Calibri" w:cs="Calibri"/>
          <w:b/>
          <w:sz w:val="22"/>
          <w:u w:val="single"/>
          <w:lang w:val="en-GB"/>
        </w:rPr>
        <w:t>NOTE:</w:t>
      </w:r>
      <w:r w:rsidRPr="00466F01">
        <w:rPr>
          <w:rFonts w:ascii="Calibri" w:eastAsia="Calibri" w:hAnsi="Calibri" w:cs="Calibri"/>
          <w:b/>
          <w:sz w:val="22"/>
          <w:lang w:val="en-GB"/>
        </w:rPr>
        <w:t xml:space="preserve"> </w:t>
      </w:r>
      <w:r w:rsidRPr="00466F01">
        <w:rPr>
          <w:rFonts w:ascii="Calibri" w:eastAsia="Calibri" w:hAnsi="Calibri" w:cs="Calibri"/>
          <w:sz w:val="22"/>
          <w:lang w:val="en-GB"/>
        </w:rPr>
        <w:t>To clarify matters, Awarding Authority emphasises that the terms "Candidate", "Bidder", "Tenderer" and "Contractor" each refer to the same (legal) person. The "Bidding Consortium" and the "Tenderer Consortium" are also used synonymously; for the sake of clarity, only the term "Bidding Consortium" is used in these documents.</w:t>
      </w:r>
    </w:p>
    <w:p w14:paraId="3D58F5CC" w14:textId="53BCA08B" w:rsidR="00463C55" w:rsidRPr="00466F01" w:rsidRDefault="00A52A01" w:rsidP="00A52A01">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The following forms provided by FAIR together with the award documents must be completed and submitted to Awarding Authority as part of the </w:t>
      </w:r>
      <w:r w:rsidR="001102D6" w:rsidRPr="00466F01">
        <w:rPr>
          <w:rFonts w:ascii="Calibri" w:eastAsia="Calibri" w:hAnsi="Calibri" w:cs="Calibri"/>
          <w:sz w:val="22"/>
          <w:lang w:val="en-GB"/>
        </w:rPr>
        <w:t>tender</w:t>
      </w:r>
      <w:r w:rsidRPr="00466F01">
        <w:rPr>
          <w:rFonts w:ascii="Calibri" w:eastAsia="Calibri" w:hAnsi="Calibri" w:cs="Calibri"/>
          <w:sz w:val="22"/>
          <w:lang w:val="en-GB"/>
        </w:rPr>
        <w:t>:</w:t>
      </w:r>
    </w:p>
    <w:p w14:paraId="122EAEE7" w14:textId="77777777" w:rsidR="00FA78F5" w:rsidRPr="00784329" w:rsidRDefault="00FA78F5" w:rsidP="00FA78F5">
      <w:pPr>
        <w:pStyle w:val="Listenabsatz"/>
        <w:numPr>
          <w:ilvl w:val="0"/>
          <w:numId w:val="6"/>
        </w:numPr>
        <w:spacing w:line="360" w:lineRule="auto"/>
        <w:ind w:left="714" w:hanging="357"/>
        <w:rPr>
          <w:rFonts w:eastAsia="Calibri" w:cs="Calibri"/>
          <w:b/>
        </w:rPr>
      </w:pPr>
      <w:r w:rsidRPr="00784329">
        <w:rPr>
          <w:rFonts w:eastAsia="Calibri" w:cs="Calibri"/>
          <w:b/>
        </w:rPr>
        <w:t xml:space="preserve">Form </w:t>
      </w:r>
      <w:proofErr w:type="spellStart"/>
      <w:r>
        <w:rPr>
          <w:rFonts w:eastAsia="Calibri" w:cs="Calibri"/>
          <w:b/>
        </w:rPr>
        <w:t>Offer</w:t>
      </w:r>
      <w:proofErr w:type="spellEnd"/>
      <w:r>
        <w:rPr>
          <w:rFonts w:eastAsia="Calibri" w:cs="Calibri"/>
          <w:b/>
        </w:rPr>
        <w:t xml:space="preserve"> Form</w:t>
      </w:r>
    </w:p>
    <w:p w14:paraId="23F88AFE" w14:textId="4829D2C6" w:rsidR="00FA78F5" w:rsidRDefault="00FA78F5" w:rsidP="00FA78F5">
      <w:pPr>
        <w:pStyle w:val="Listenabsatz"/>
        <w:numPr>
          <w:ilvl w:val="0"/>
          <w:numId w:val="6"/>
        </w:numPr>
        <w:spacing w:line="360" w:lineRule="auto"/>
        <w:ind w:left="714" w:hanging="357"/>
        <w:rPr>
          <w:rFonts w:eastAsia="Calibri" w:cs="Calibri"/>
          <w:b/>
          <w:lang w:val="en-US"/>
        </w:rPr>
      </w:pPr>
      <w:r w:rsidRPr="00784329">
        <w:rPr>
          <w:rFonts w:eastAsia="Calibri" w:cs="Calibri"/>
          <w:b/>
          <w:lang w:val="en-US"/>
        </w:rPr>
        <w:t xml:space="preserve">Form </w:t>
      </w:r>
      <w:r>
        <w:rPr>
          <w:rFonts w:eastAsia="Calibri" w:cs="Calibri"/>
          <w:b/>
          <w:lang w:val="en-US"/>
        </w:rPr>
        <w:t>Suitability</w:t>
      </w:r>
    </w:p>
    <w:p w14:paraId="50401864" w14:textId="77777777" w:rsidR="00786B3B" w:rsidRDefault="00786B3B" w:rsidP="00786B3B">
      <w:pPr>
        <w:pStyle w:val="Listenabsatz"/>
        <w:jc w:val="both"/>
        <w:rPr>
          <w:rFonts w:cs="Arial"/>
          <w:b/>
          <w:i/>
          <w:color w:val="FF0000"/>
          <w:lang w:val="en-GB"/>
        </w:rPr>
      </w:pPr>
    </w:p>
    <w:p w14:paraId="56B5844E" w14:textId="2980E0E2" w:rsidR="00786B3B" w:rsidRPr="00425CC1" w:rsidRDefault="00786B3B" w:rsidP="00786B3B">
      <w:pPr>
        <w:pStyle w:val="Listenabsatz"/>
        <w:jc w:val="both"/>
        <w:rPr>
          <w:rFonts w:cs="Arial"/>
          <w:bCs/>
          <w:iCs/>
          <w:lang w:val="en-GB"/>
        </w:rPr>
      </w:pPr>
      <w:bookmarkStart w:id="4" w:name="_Hlk237441318"/>
      <w:r w:rsidRPr="00425CC1">
        <w:rPr>
          <w:rFonts w:cs="Arial"/>
          <w:bCs/>
          <w:iCs/>
          <w:lang w:val="en-GB"/>
        </w:rPr>
        <w:t>The bid documents must allow for conclusions to be drawn regarding compliance with the specifications, particularly regarding compliance with the required parameters.</w:t>
      </w:r>
    </w:p>
    <w:p w14:paraId="7D14309C" w14:textId="0CA177E2" w:rsidR="00463C55" w:rsidRPr="00425CC1" w:rsidRDefault="00786B3B" w:rsidP="00786B3B">
      <w:pPr>
        <w:pStyle w:val="Listenabsatz"/>
        <w:jc w:val="both"/>
        <w:rPr>
          <w:rFonts w:cs="Arial"/>
          <w:bCs/>
          <w:iCs/>
          <w:lang w:val="en-GB"/>
        </w:rPr>
      </w:pPr>
      <w:r w:rsidRPr="00425CC1">
        <w:rPr>
          <w:rFonts w:cs="Arial"/>
          <w:bCs/>
          <w:iCs/>
          <w:lang w:val="en-GB"/>
        </w:rPr>
        <w:t>The description of quality assurance must specifically address the bid-</w:t>
      </w:r>
      <w:proofErr w:type="spellStart"/>
      <w:r w:rsidRPr="00425CC1">
        <w:rPr>
          <w:rFonts w:cs="Arial"/>
          <w:bCs/>
          <w:iCs/>
          <w:lang w:val="en-GB"/>
        </w:rPr>
        <w:t>der"s</w:t>
      </w:r>
      <w:proofErr w:type="spellEnd"/>
      <w:r w:rsidRPr="00425CC1">
        <w:rPr>
          <w:rFonts w:cs="Arial"/>
          <w:bCs/>
          <w:iCs/>
          <w:lang w:val="en-GB"/>
        </w:rPr>
        <w:t xml:space="preserve"> capabilities to calibrate and test the measuring instruments and to ensure a successful FA</w:t>
      </w:r>
    </w:p>
    <w:bookmarkEnd w:id="4"/>
    <w:p w14:paraId="5AF5F2F8"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Bidder shall specify all relevant </w:t>
      </w:r>
      <w:r w:rsidRPr="00466F01">
        <w:rPr>
          <w:rFonts w:ascii="Calibri" w:eastAsia="Calibri" w:hAnsi="Calibri" w:cs="Calibri"/>
          <w:b/>
          <w:sz w:val="22"/>
          <w:lang w:val="en-GB"/>
        </w:rPr>
        <w:t xml:space="preserve">customs tariff numbers </w:t>
      </w:r>
      <w:r w:rsidRPr="00466F01">
        <w:rPr>
          <w:rFonts w:ascii="Calibri" w:eastAsia="Calibri" w:hAnsi="Calibri" w:cs="Calibri"/>
          <w:sz w:val="22"/>
          <w:lang w:val="en-GB"/>
        </w:rPr>
        <w:t>of the services included in the tender separately. If these are not available yet, Bidder must instead inform Awarding Authority of this in the tender. Awarding Authority reserves the right to request the customs tariff numbers once only. Bidder, however, is not entitled to this. Bidder can be excluded from the procedure if Bidder fails to designate existing customs tariff numbers.</w:t>
      </w:r>
    </w:p>
    <w:p w14:paraId="08B425ED" w14:textId="07417B03"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Safeguard Duty on Steel Products</w:t>
      </w:r>
    </w:p>
    <w:p w14:paraId="021FBAB6"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Referring to the Implementing Regulations (EU) 2018/1013 of the Commission on 17 July 2018 re: imposing provisional safeguard measures on certain steel products, and 2019/159 of the Commission on 31 January 2019 re: imposing definitive safeguard measures on imports of certain steel products, in particular the recitals set out in those regulations, Awarding Authority points out the following:</w:t>
      </w:r>
    </w:p>
    <w:p w14:paraId="164A81C8" w14:textId="77777777" w:rsidR="00561CAB" w:rsidRPr="00466F01" w:rsidRDefault="00561CAB" w:rsidP="00561CAB">
      <w:pPr>
        <w:spacing w:line="276" w:lineRule="auto"/>
        <w:rPr>
          <w:rFonts w:ascii="Calibri" w:eastAsia="Calibri" w:hAnsi="Calibri" w:cs="Calibri"/>
          <w:sz w:val="22"/>
          <w:lang w:val="en-GB"/>
        </w:rPr>
      </w:pPr>
      <w:r w:rsidRPr="00466F01">
        <w:rPr>
          <w:rFonts w:ascii="Calibri" w:eastAsia="Calibri" w:hAnsi="Calibri" w:cs="Calibri"/>
          <w:sz w:val="22"/>
          <w:lang w:val="en-GB"/>
        </w:rPr>
        <w:t xml:space="preserve">When submitting a </w:t>
      </w:r>
      <w:proofErr w:type="gramStart"/>
      <w:r w:rsidRPr="00466F01">
        <w:rPr>
          <w:rFonts w:ascii="Calibri" w:eastAsia="Calibri" w:hAnsi="Calibri" w:cs="Calibri"/>
          <w:sz w:val="22"/>
          <w:lang w:val="en-GB"/>
        </w:rPr>
        <w:t>tenders</w:t>
      </w:r>
      <w:proofErr w:type="gramEnd"/>
      <w:r w:rsidRPr="00466F01">
        <w:rPr>
          <w:rFonts w:ascii="Calibri" w:eastAsia="Calibri" w:hAnsi="Calibri" w:cs="Calibri"/>
          <w:sz w:val="22"/>
          <w:lang w:val="en-GB"/>
        </w:rPr>
        <w:t>, Bidder shall inform Awarding Authority that both or only one of the regulations would apply in the event of an award being made. The possibility of an exempted quota is irrelevant. Should Bidder fail to do so, contrary to the obligation stipulated herein, Bidder may be excluded from the procedure. Should Awarding Authority become aware after making the award that such a breach of obligations has occurred, Awarding Authority shall be entitled, at its sole discretion and without notice, to withdraw from the contract without this giving rise to any liability claims for the contractor.</w:t>
      </w:r>
    </w:p>
    <w:p w14:paraId="045E234F" w14:textId="32CE6173"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It is up to the Bidder concerned to prove that the safeguard duty provided for in the regulations is not relevant, by means of a certificate of origin when submitting a tender.</w:t>
      </w:r>
    </w:p>
    <w:p w14:paraId="2A7D34E3" w14:textId="0CB7D7A8"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lastRenderedPageBreak/>
        <w:t xml:space="preserve">The forms provided with the tender documents must be completed in full, depending on the tender. Failure to submit or incomplete submission of the required documents, as well as deliberate misrepresentation may result in exclusion of Bidder from the competition. FAIR reserves the right to request additional documents once only within a period to be determined in the subsequential request in accordance with § 56 </w:t>
      </w:r>
      <w:proofErr w:type="spellStart"/>
      <w:r w:rsidRPr="00466F01">
        <w:rPr>
          <w:rFonts w:ascii="Calibri" w:eastAsia="Calibri" w:hAnsi="Calibri" w:cs="Calibri"/>
          <w:b/>
          <w:sz w:val="22"/>
          <w:lang w:val="en-GB"/>
        </w:rPr>
        <w:t>VgV</w:t>
      </w:r>
      <w:proofErr w:type="spellEnd"/>
      <w:r w:rsidRPr="00466F01">
        <w:rPr>
          <w:rFonts w:ascii="Calibri" w:eastAsia="Calibri" w:hAnsi="Calibri" w:cs="Calibri"/>
          <w:b/>
          <w:sz w:val="22"/>
          <w:lang w:val="en-GB"/>
        </w:rPr>
        <w:t xml:space="preserve">. Bidders cannot, however, rely on such a request being made. Ultimately incomplete </w:t>
      </w:r>
      <w:r w:rsidR="0044776B">
        <w:rPr>
          <w:rFonts w:ascii="Calibri" w:eastAsia="Calibri" w:hAnsi="Calibri" w:cs="Calibri"/>
          <w:b/>
          <w:sz w:val="22"/>
          <w:lang w:val="en-GB"/>
        </w:rPr>
        <w:t>tenders</w:t>
      </w:r>
      <w:r w:rsidRPr="00466F01">
        <w:rPr>
          <w:rFonts w:ascii="Calibri" w:eastAsia="Calibri" w:hAnsi="Calibri" w:cs="Calibri"/>
          <w:b/>
          <w:sz w:val="22"/>
          <w:lang w:val="en-GB"/>
        </w:rPr>
        <w:t xml:space="preserve"> will be excluded (§ 57 para. 1 n</w:t>
      </w:r>
      <w:r w:rsidR="00466F01">
        <w:rPr>
          <w:rFonts w:ascii="Calibri" w:eastAsia="Calibri" w:hAnsi="Calibri" w:cs="Calibri"/>
          <w:b/>
          <w:sz w:val="22"/>
          <w:lang w:val="en-GB"/>
        </w:rPr>
        <w:t>o</w:t>
      </w:r>
      <w:r w:rsidRPr="00466F01">
        <w:rPr>
          <w:rFonts w:ascii="Calibri" w:eastAsia="Calibri" w:hAnsi="Calibri" w:cs="Calibri"/>
          <w:b/>
          <w:sz w:val="22"/>
          <w:lang w:val="en-GB"/>
        </w:rPr>
        <w:t xml:space="preserve">. 2 </w:t>
      </w:r>
      <w:proofErr w:type="spellStart"/>
      <w:r w:rsidRPr="00466F01">
        <w:rPr>
          <w:rFonts w:ascii="Calibri" w:eastAsia="Calibri" w:hAnsi="Calibri" w:cs="Calibri"/>
          <w:b/>
          <w:sz w:val="22"/>
          <w:lang w:val="en-GB"/>
        </w:rPr>
        <w:t>VgV</w:t>
      </w:r>
      <w:proofErr w:type="spellEnd"/>
      <w:r w:rsidRPr="00466F01">
        <w:rPr>
          <w:rFonts w:ascii="Calibri" w:eastAsia="Calibri" w:hAnsi="Calibri" w:cs="Calibri"/>
          <w:b/>
          <w:sz w:val="22"/>
          <w:lang w:val="en-GB"/>
        </w:rPr>
        <w:t>).</w:t>
      </w:r>
    </w:p>
    <w:p w14:paraId="37E42BF0" w14:textId="24BFAB43" w:rsidR="00561CAB" w:rsidRPr="00466F01" w:rsidRDefault="00561CAB" w:rsidP="00200589">
      <w:pPr>
        <w:pStyle w:val="Listenabsatz"/>
        <w:keepNext/>
        <w:numPr>
          <w:ilvl w:val="0"/>
          <w:numId w:val="9"/>
        </w:numPr>
        <w:rPr>
          <w:rFonts w:eastAsia="Calibri" w:cs="Calibri"/>
          <w:b/>
          <w:lang w:val="en-GB"/>
        </w:rPr>
      </w:pPr>
      <w:r w:rsidRPr="00466F01">
        <w:rPr>
          <w:rFonts w:eastAsia="Calibri" w:cs="Calibri"/>
          <w:b/>
          <w:lang w:val="en-GB"/>
        </w:rPr>
        <w:t>Deadline for Submitting Tenders</w:t>
      </w:r>
    </w:p>
    <w:p w14:paraId="477675F2" w14:textId="158E440E"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The deadline set in the contract notice for the submission of tenders must be strictly observed. Tenders received late will be excluded from the procedure, unless Bidder cannot be held responsible (§ 57 para. 1 n</w:t>
      </w:r>
      <w:r w:rsidR="00466F01">
        <w:rPr>
          <w:rFonts w:ascii="Calibri" w:eastAsia="Calibri" w:hAnsi="Calibri" w:cs="Calibri"/>
          <w:sz w:val="22"/>
          <w:lang w:val="en-GB"/>
        </w:rPr>
        <w:t>o</w:t>
      </w:r>
      <w:r w:rsidRPr="00466F01">
        <w:rPr>
          <w:rFonts w:ascii="Calibri" w:eastAsia="Calibri" w:hAnsi="Calibri" w:cs="Calibri"/>
          <w:sz w:val="22"/>
          <w:lang w:val="en-GB"/>
        </w:rPr>
        <w:t xml:space="preserve">. 1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1D331EA3" w14:textId="715AD277" w:rsidR="00463C55" w:rsidRPr="00466F01" w:rsidRDefault="00B30C71" w:rsidP="00200589">
      <w:pPr>
        <w:pStyle w:val="Listenabsatz"/>
        <w:keepNext/>
        <w:numPr>
          <w:ilvl w:val="0"/>
          <w:numId w:val="9"/>
        </w:numPr>
        <w:jc w:val="both"/>
        <w:rPr>
          <w:rFonts w:cs="Arial"/>
          <w:b/>
          <w:bCs/>
          <w:lang w:val="en-GB"/>
        </w:rPr>
      </w:pPr>
      <w:r w:rsidRPr="00466F01">
        <w:rPr>
          <w:rFonts w:cs="Arial"/>
          <w:b/>
          <w:bCs/>
          <w:lang w:val="en-GB"/>
        </w:rPr>
        <w:t xml:space="preserve">Formal Requirements for </w:t>
      </w:r>
      <w:r w:rsidR="00561CAB" w:rsidRPr="00466F01">
        <w:rPr>
          <w:rFonts w:cs="Arial"/>
          <w:b/>
          <w:bCs/>
          <w:lang w:val="en-GB"/>
        </w:rPr>
        <w:t>Tenders</w:t>
      </w:r>
    </w:p>
    <w:p w14:paraId="6D80952B" w14:textId="522233E3"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only form of submission of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accepted by Awarding Authority is in writing, electronically</w:t>
      </w:r>
    </w:p>
    <w:p w14:paraId="78E776DF" w14:textId="744DB566" w:rsidR="00B30C71" w:rsidRPr="00466F01" w:rsidRDefault="00B30C71" w:rsidP="00B30C71">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In Writing, Electronically</w:t>
      </w:r>
    </w:p>
    <w:p w14:paraId="62C84AB6" w14:textId="1E0C3459" w:rsidR="00B30C71" w:rsidRPr="00466F01" w:rsidRDefault="00561CAB" w:rsidP="00B30C71">
      <w:pPr>
        <w:spacing w:line="278" w:lineRule="auto"/>
        <w:rPr>
          <w:rFonts w:ascii="Calibri" w:eastAsia="Calibri" w:hAnsi="Calibri" w:cs="Calibri"/>
          <w:b/>
          <w:sz w:val="22"/>
          <w:lang w:val="en-GB"/>
        </w:rPr>
      </w:pPr>
      <w:r w:rsidRPr="00466F01">
        <w:rPr>
          <w:rFonts w:ascii="Calibri" w:eastAsia="Calibri" w:hAnsi="Calibri" w:cs="Calibri"/>
          <w:b/>
          <w:sz w:val="22"/>
          <w:lang w:val="en-GB"/>
        </w:rPr>
        <w:t>Tenders</w:t>
      </w:r>
      <w:r w:rsidR="00B30C71" w:rsidRPr="00466F01">
        <w:rPr>
          <w:rFonts w:ascii="Calibri" w:eastAsia="Calibri" w:hAnsi="Calibri" w:cs="Calibri"/>
          <w:b/>
          <w:sz w:val="22"/>
          <w:lang w:val="en-GB"/>
        </w:rPr>
        <w:t xml:space="preserve"> shall be submitted electronically within the deadline via the German awarding platform DTVP. </w:t>
      </w:r>
    </w:p>
    <w:p w14:paraId="38E71224" w14:textId="77777777" w:rsidR="00B30C71" w:rsidRPr="00292F6E" w:rsidRDefault="00B30C71" w:rsidP="00B30C71">
      <w:pPr>
        <w:spacing w:line="278" w:lineRule="auto"/>
        <w:ind w:left="1418"/>
        <w:rPr>
          <w:rFonts w:ascii="Calibri" w:eastAsia="Calibri" w:hAnsi="Calibri" w:cs="Calibri"/>
          <w:b/>
          <w:sz w:val="22"/>
          <w:lang w:val="sv-SE"/>
        </w:rPr>
      </w:pPr>
      <w:r w:rsidRPr="00292F6E">
        <w:rPr>
          <w:rFonts w:ascii="Calibri" w:eastAsia="Calibri" w:hAnsi="Calibri" w:cs="Calibri"/>
          <w:sz w:val="22"/>
          <w:lang w:val="sv-SE"/>
        </w:rPr>
        <w:t xml:space="preserve">URL: </w:t>
      </w:r>
      <w:hyperlink r:id="rId8" w:history="1">
        <w:r w:rsidRPr="00292F6E">
          <w:rPr>
            <w:rStyle w:val="Hyperlink"/>
            <w:rFonts w:ascii="Calibri" w:eastAsia="Calibri" w:hAnsi="Calibri" w:cs="Calibri"/>
            <w:color w:val="0000FF"/>
            <w:sz w:val="22"/>
            <w:lang w:val="sv-SE"/>
          </w:rPr>
          <w:t>http://www.dtvp.de/Center/</w:t>
        </w:r>
      </w:hyperlink>
    </w:p>
    <w:p w14:paraId="13AFC9BF" w14:textId="2B4DF4F6"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forms and other documents to be completed, provided by </w:t>
      </w:r>
      <w:r w:rsidR="00BF2385" w:rsidRPr="00466F01">
        <w:rPr>
          <w:rFonts w:ascii="Calibri" w:eastAsia="Calibri" w:hAnsi="Calibri" w:cs="Calibri"/>
          <w:sz w:val="22"/>
          <w:lang w:val="en-GB"/>
        </w:rPr>
        <w:t>FAIR</w:t>
      </w:r>
      <w:r w:rsidRPr="00466F01">
        <w:rPr>
          <w:rFonts w:ascii="Calibri" w:eastAsia="Calibri" w:hAnsi="Calibri" w:cs="Calibri"/>
          <w:sz w:val="22"/>
          <w:lang w:val="en-GB"/>
        </w:rPr>
        <w:t xml:space="preserve">, may be </w:t>
      </w:r>
    </w:p>
    <w:p w14:paraId="59DB4F9E" w14:textId="77777777"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either completed on the online tendering tool under the section "Documents to Be Completed" or</w:t>
      </w:r>
    </w:p>
    <w:p w14:paraId="4D8A592F" w14:textId="4119B4F4"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created and compiled separately by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together with the other components of the tender (concepts or explanations etc.), then uploaded under the heading "Own Documents". </w:t>
      </w:r>
    </w:p>
    <w:p w14:paraId="4F8C326B" w14:textId="056013D8"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However,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should not fill in the forms online and upload them again separately, as this can result in transmission errors and increases the workload on both sides.</w:t>
      </w:r>
    </w:p>
    <w:p w14:paraId="5077249D" w14:textId="7739A84C"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order to comply with the text form (in writing) according to § 126b BGB [transl.: </w:t>
      </w:r>
      <w:r w:rsidR="0077315C">
        <w:rPr>
          <w:rFonts w:ascii="Calibri" w:eastAsia="Calibri" w:hAnsi="Calibri" w:cs="Calibri"/>
          <w:sz w:val="22"/>
          <w:lang w:val="en-GB"/>
        </w:rPr>
        <w:t xml:space="preserve">German </w:t>
      </w:r>
      <w:r w:rsidRPr="00466F01">
        <w:rPr>
          <w:rFonts w:ascii="Calibri" w:eastAsia="Calibri" w:hAnsi="Calibri" w:cs="Calibri"/>
          <w:sz w:val="22"/>
          <w:lang w:val="en-GB"/>
        </w:rPr>
        <w:t xml:space="preserve">Civil Code] when submitting </w:t>
      </w:r>
      <w:r w:rsidR="00977613" w:rsidRPr="00466F01">
        <w:rPr>
          <w:rFonts w:ascii="Calibri" w:eastAsia="Calibri" w:hAnsi="Calibri" w:cs="Calibri"/>
          <w:sz w:val="22"/>
          <w:lang w:val="en-GB"/>
        </w:rPr>
        <w:t>tenders</w:t>
      </w:r>
      <w:r w:rsidRPr="00466F01">
        <w:rPr>
          <w:rFonts w:ascii="Calibri" w:eastAsia="Calibri" w:hAnsi="Calibri" w:cs="Calibri"/>
          <w:sz w:val="22"/>
          <w:lang w:val="en-GB"/>
        </w:rPr>
        <w:t xml:space="preserve">,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s must provide the following information: </w:t>
      </w:r>
    </w:p>
    <w:p w14:paraId="05C46A8A" w14:textId="4CCA4D01"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lastRenderedPageBreak/>
        <w:t xml:space="preserve">In the case of natural persons, the full name (first name and surname) must be given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w:t>
      </w:r>
    </w:p>
    <w:p w14:paraId="5B37D8E4" w14:textId="651787C4"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legal entities and commercial companies and corporations, the name of the company and its legal form must be stated. In addition, the full name of the employee who is submitting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company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 must be stated. The insertion of a company logo is not sufficient.</w:t>
      </w:r>
    </w:p>
    <w:p w14:paraId="08889BD7" w14:textId="10B4CB15"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Bidding Consortia, the declaring person according to § 126b BGB shall be the employee of the leading member who submits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Bidding Consortium; besides, the form "Bidding Consortium Declaration" must be submitted. </w:t>
      </w:r>
    </w:p>
    <w:p w14:paraId="7BCF47FD" w14:textId="08D6F026" w:rsidR="00B30C71" w:rsidRPr="00466F01" w:rsidRDefault="00B30C71" w:rsidP="00B30C71">
      <w:pPr>
        <w:spacing w:line="278" w:lineRule="auto"/>
        <w:rPr>
          <w:rFonts w:ascii="Calibri" w:eastAsia="Calibri" w:hAnsi="Calibri" w:cs="Calibri"/>
          <w:b/>
          <w:sz w:val="22"/>
          <w:lang w:val="en-GB"/>
        </w:rPr>
      </w:pPr>
      <w:r w:rsidRPr="00466F01">
        <w:rPr>
          <w:rFonts w:ascii="Calibri" w:eastAsia="Calibri" w:hAnsi="Calibri" w:cs="Calibri"/>
          <w:sz w:val="22"/>
          <w:lang w:val="en-GB"/>
        </w:rPr>
        <w:t>It should be noted that in the case of electronic submission, the text form according to § 126b BGB is only observed if the</w:t>
      </w:r>
      <w:r w:rsidR="00561CAB" w:rsidRPr="00466F01">
        <w:rPr>
          <w:rFonts w:ascii="Calibri" w:eastAsia="Calibri" w:hAnsi="Calibri" w:cs="Calibri"/>
          <w:sz w:val="22"/>
          <w:lang w:val="en-GB"/>
        </w:rPr>
        <w:t xml:space="preserve"> tender</w:t>
      </w:r>
      <w:r w:rsidRPr="00466F01">
        <w:rPr>
          <w:rFonts w:ascii="Calibri" w:eastAsia="Calibri" w:hAnsi="Calibri" w:cs="Calibri"/>
          <w:sz w:val="22"/>
          <w:lang w:val="en-GB"/>
        </w:rPr>
        <w:t xml:space="preserve">s are transmitted in encrypted form via the awarding platform (cf. information on </w:t>
      </w:r>
      <w:proofErr w:type="spellStart"/>
      <w:r w:rsidRPr="00466F01">
        <w:rPr>
          <w:rFonts w:ascii="Calibri" w:eastAsia="Calibri" w:hAnsi="Calibri" w:cs="Calibri"/>
          <w:sz w:val="22"/>
          <w:lang w:val="en-GB"/>
        </w:rPr>
        <w:t>eVergabe</w:t>
      </w:r>
      <w:proofErr w:type="spellEnd"/>
      <w:r w:rsidRPr="00466F01">
        <w:rPr>
          <w:rFonts w:ascii="Calibri" w:eastAsia="Calibri" w:hAnsi="Calibri" w:cs="Calibri"/>
          <w:sz w:val="22"/>
          <w:lang w:val="en-GB"/>
        </w:rPr>
        <w:t xml:space="preserve">). </w:t>
      </w:r>
      <w:r w:rsidRPr="00466F01">
        <w:rPr>
          <w:rFonts w:ascii="Calibri" w:eastAsia="Calibri" w:hAnsi="Calibri" w:cs="Calibri"/>
          <w:b/>
          <w:sz w:val="22"/>
          <w:lang w:val="en-GB"/>
        </w:rPr>
        <w:t xml:space="preserve">Submitting the </w:t>
      </w:r>
      <w:r w:rsidR="00561CAB" w:rsidRPr="00466F01">
        <w:rPr>
          <w:rFonts w:ascii="Calibri" w:eastAsia="Calibri" w:hAnsi="Calibri" w:cs="Calibri"/>
          <w:b/>
          <w:sz w:val="22"/>
          <w:lang w:val="en-GB"/>
        </w:rPr>
        <w:t>tender</w:t>
      </w:r>
      <w:r w:rsidRPr="00466F01">
        <w:rPr>
          <w:rFonts w:ascii="Calibri" w:eastAsia="Calibri" w:hAnsi="Calibri" w:cs="Calibri"/>
          <w:b/>
          <w:sz w:val="22"/>
          <w:lang w:val="en-GB"/>
        </w:rPr>
        <w:t xml:space="preserve"> via email is not sufficient.</w:t>
      </w:r>
    </w:p>
    <w:p w14:paraId="5A09C0A6" w14:textId="39D4121A"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the case of incorrect/ incomplete information that violates the aforementioned formal requirements,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will be excluded unless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cannot be h</w:t>
      </w:r>
      <w:r w:rsidR="00466F01">
        <w:rPr>
          <w:rFonts w:ascii="Calibri" w:eastAsia="Calibri" w:hAnsi="Calibri" w:cs="Calibri"/>
          <w:sz w:val="22"/>
          <w:lang w:val="en-GB"/>
        </w:rPr>
        <w:t>eld responsible (§ 57 para. 1 no</w:t>
      </w:r>
      <w:r w:rsidRPr="00466F01">
        <w:rPr>
          <w:rFonts w:ascii="Calibri" w:eastAsia="Calibri" w:hAnsi="Calibri" w:cs="Calibri"/>
          <w:sz w:val="22"/>
          <w:lang w:val="en-GB"/>
        </w:rPr>
        <w:t>. 1</w:t>
      </w:r>
      <w:r w:rsidR="006069D9" w:rsidRPr="00466F01">
        <w:rPr>
          <w:rFonts w:ascii="Calibri" w:eastAsia="Calibri" w:hAnsi="Calibri" w:cs="Calibri"/>
          <w:sz w:val="22"/>
          <w:lang w:val="en-GB"/>
        </w:rPr>
        <w:t xml:space="preserve">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67450B96" w14:textId="467B9CBF"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4. </w:t>
      </w:r>
      <w:r w:rsidRPr="00466F01">
        <w:rPr>
          <w:rFonts w:ascii="Calibri" w:eastAsia="Calibri" w:hAnsi="Calibri" w:cs="Calibri"/>
          <w:b/>
          <w:sz w:val="22"/>
          <w:lang w:val="en-GB"/>
        </w:rPr>
        <w:t xml:space="preserve">Communication with </w:t>
      </w:r>
      <w:r w:rsidR="00561CAB" w:rsidRPr="00466F01">
        <w:rPr>
          <w:rFonts w:ascii="Calibri" w:eastAsia="Calibri" w:hAnsi="Calibri" w:cs="Calibri"/>
          <w:b/>
          <w:sz w:val="22"/>
          <w:lang w:val="en-GB"/>
        </w:rPr>
        <w:t>Bidders</w:t>
      </w:r>
    </w:p>
    <w:p w14:paraId="5EDA623E" w14:textId="0F26E717"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Communication with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takes place via the DTVP's tender platform. Questions must be sent to FAIR via DTVP and will are answered via DTVP. Questions posed orally or by telephone regarding the documents or the contractual object will not be answered; answers given orally or by telephone are not binding.</w:t>
      </w:r>
    </w:p>
    <w:p w14:paraId="1C1F2812" w14:textId="51143D19"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5. </w:t>
      </w:r>
      <w:r w:rsidRPr="00466F01">
        <w:rPr>
          <w:rFonts w:ascii="Calibri" w:eastAsia="Calibri" w:hAnsi="Calibri" w:cs="Calibri"/>
          <w:b/>
          <w:sz w:val="22"/>
          <w:lang w:val="en-GB"/>
        </w:rPr>
        <w:t>Languages</w:t>
      </w:r>
    </w:p>
    <w:p w14:paraId="7250E8B1" w14:textId="6F842ACF"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The procedural an</w:t>
      </w:r>
      <w:r w:rsidR="0093208A">
        <w:rPr>
          <w:rFonts w:ascii="Calibri" w:eastAsia="Calibri" w:hAnsi="Calibri" w:cs="Calibri"/>
          <w:sz w:val="22"/>
          <w:lang w:val="en-GB"/>
        </w:rPr>
        <w:t>d contractual language is English</w:t>
      </w:r>
      <w:r w:rsidRPr="00466F01">
        <w:rPr>
          <w:rFonts w:ascii="Calibri" w:eastAsia="Calibri" w:hAnsi="Calibri" w:cs="Calibri"/>
          <w:sz w:val="22"/>
          <w:lang w:val="en-GB"/>
        </w:rPr>
        <w:t>. The tender documents may be partly in German and English, specifications and technical equipment only in English in part. In the case of documents written in Ger</w:t>
      </w:r>
      <w:r w:rsidR="0093208A">
        <w:rPr>
          <w:rFonts w:ascii="Calibri" w:eastAsia="Calibri" w:hAnsi="Calibri" w:cs="Calibri"/>
          <w:sz w:val="22"/>
          <w:lang w:val="en-GB"/>
        </w:rPr>
        <w:t>man and English, only the English</w:t>
      </w:r>
      <w:r w:rsidRPr="00466F01">
        <w:rPr>
          <w:rFonts w:ascii="Calibri" w:eastAsia="Calibri" w:hAnsi="Calibri" w:cs="Calibri"/>
          <w:sz w:val="22"/>
          <w:lang w:val="en-GB"/>
        </w:rPr>
        <w:t xml:space="preserve"> version shall be bi</w:t>
      </w:r>
      <w:r w:rsidR="0093208A">
        <w:rPr>
          <w:rFonts w:ascii="Calibri" w:eastAsia="Calibri" w:hAnsi="Calibri" w:cs="Calibri"/>
          <w:sz w:val="22"/>
          <w:lang w:val="en-GB"/>
        </w:rPr>
        <w:t>nding; in this case, the German</w:t>
      </w:r>
      <w:r w:rsidRPr="00466F01">
        <w:rPr>
          <w:rFonts w:ascii="Calibri" w:eastAsia="Calibri" w:hAnsi="Calibri" w:cs="Calibri"/>
          <w:sz w:val="22"/>
          <w:lang w:val="en-GB"/>
        </w:rPr>
        <w:t xml:space="preserve"> version shall only serve to improve comprehens</w:t>
      </w:r>
      <w:r w:rsidR="0093208A">
        <w:rPr>
          <w:rFonts w:ascii="Calibri" w:eastAsia="Calibri" w:hAnsi="Calibri" w:cs="Calibri"/>
          <w:sz w:val="22"/>
          <w:lang w:val="en-GB"/>
        </w:rPr>
        <w:t xml:space="preserve">ion of the document for </w:t>
      </w:r>
      <w:r w:rsidRPr="00466F01">
        <w:rPr>
          <w:rFonts w:ascii="Calibri" w:eastAsia="Calibri" w:hAnsi="Calibri" w:cs="Calibri"/>
          <w:sz w:val="22"/>
          <w:lang w:val="en-GB"/>
        </w:rPr>
        <w:t>bidders. In case of in</w:t>
      </w:r>
      <w:r w:rsidR="0093208A">
        <w:rPr>
          <w:rFonts w:ascii="Calibri" w:eastAsia="Calibri" w:hAnsi="Calibri" w:cs="Calibri"/>
          <w:sz w:val="22"/>
          <w:lang w:val="en-GB"/>
        </w:rPr>
        <w:t>consistencies between the English version and the German translation, the English</w:t>
      </w:r>
      <w:r w:rsidRPr="00466F01">
        <w:rPr>
          <w:rFonts w:ascii="Calibri" w:eastAsia="Calibri" w:hAnsi="Calibri" w:cs="Calibri"/>
          <w:sz w:val="22"/>
          <w:lang w:val="en-GB"/>
        </w:rPr>
        <w:t xml:space="preserve"> original text is legally binding.</w:t>
      </w:r>
    </w:p>
    <w:p w14:paraId="2CBF676C" w14:textId="54BC43EF" w:rsidR="00463C55" w:rsidRPr="00466F01" w:rsidRDefault="00B30C71"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If </w:t>
      </w:r>
      <w:r w:rsidR="00380243" w:rsidRPr="00466F01">
        <w:rPr>
          <w:rFonts w:ascii="Calibri" w:eastAsia="Calibri" w:hAnsi="Calibri" w:cs="Calibri"/>
          <w:sz w:val="22"/>
          <w:lang w:val="en-GB"/>
        </w:rPr>
        <w:t>Bidder</w:t>
      </w:r>
      <w:r w:rsidRPr="00466F01">
        <w:rPr>
          <w:rFonts w:ascii="Calibri" w:eastAsia="Calibri" w:hAnsi="Calibri" w:cs="Calibri"/>
          <w:sz w:val="22"/>
          <w:lang w:val="en-GB"/>
        </w:rPr>
        <w:t xml:space="preserve"> submits a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and includes proof of suitabi</w:t>
      </w:r>
      <w:r w:rsidR="0093208A">
        <w:rPr>
          <w:rFonts w:ascii="Calibri" w:eastAsia="Calibri" w:hAnsi="Calibri" w:cs="Calibri"/>
          <w:sz w:val="22"/>
          <w:lang w:val="en-GB"/>
        </w:rPr>
        <w:t>lity in another language, English</w:t>
      </w:r>
      <w:r w:rsidRPr="00466F01">
        <w:rPr>
          <w:rFonts w:ascii="Calibri" w:eastAsia="Calibri" w:hAnsi="Calibri" w:cs="Calibri"/>
          <w:sz w:val="22"/>
          <w:lang w:val="en-GB"/>
        </w:rPr>
        <w:t xml:space="preserve"> translations must also be submitted.</w:t>
      </w:r>
    </w:p>
    <w:p w14:paraId="5E1D3207" w14:textId="123B6DA6" w:rsidR="00446FAB" w:rsidRPr="00466F01" w:rsidRDefault="00380243" w:rsidP="00446FAB">
      <w:pPr>
        <w:keepNext/>
        <w:spacing w:after="200" w:line="276" w:lineRule="auto"/>
        <w:rPr>
          <w:rFonts w:ascii="Calibri" w:eastAsia="Calibri" w:hAnsi="Calibri" w:cs="Calibri"/>
          <w:b/>
          <w:sz w:val="22"/>
          <w:lang w:val="en-GB"/>
        </w:rPr>
      </w:pPr>
      <w:r w:rsidRPr="00466F01">
        <w:rPr>
          <w:rFonts w:ascii="Calibri" w:eastAsia="Calibri" w:hAnsi="Calibri" w:cs="Calibri"/>
          <w:b/>
          <w:sz w:val="22"/>
          <w:lang w:val="en-GB"/>
        </w:rPr>
        <w:lastRenderedPageBreak/>
        <w:t>6</w:t>
      </w:r>
      <w:r w:rsidR="00446FAB" w:rsidRPr="00466F01">
        <w:rPr>
          <w:rFonts w:ascii="Calibri" w:eastAsia="Calibri" w:hAnsi="Calibri" w:cs="Calibri"/>
          <w:b/>
          <w:sz w:val="22"/>
          <w:lang w:val="en-GB"/>
        </w:rPr>
        <w:t>. Award Criteria/ Tender Evaluation</w:t>
      </w:r>
    </w:p>
    <w:p w14:paraId="2C6AABA1" w14:textId="6B17BAC3"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The award shall be made to the most economically advantageous tender. Bidders accepted for evaluation shall be evaluated on the basis of the award criteria with the corresponding weighting indicated.</w:t>
      </w:r>
    </w:p>
    <w:p w14:paraId="29478154" w14:textId="2F98C7F4"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FAIR reserves the right to invite the three Bidders with the highest scores for a presentation to verify the information and documents provided. There will be no negotiations.</w:t>
      </w:r>
    </w:p>
    <w:p w14:paraId="63D71BBE" w14:textId="7DEEC0CB" w:rsidR="00446FAB"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In compliance with the general principles of equal treatment and transparency, Awarding Authority has determined the following award criteria:</w:t>
      </w:r>
    </w:p>
    <w:p w14:paraId="6CD97F65" w14:textId="77777777" w:rsidR="002946E2" w:rsidRPr="00766B65" w:rsidRDefault="002946E2" w:rsidP="002946E2">
      <w:pPr>
        <w:pStyle w:val="Listenabsatz"/>
        <w:spacing w:after="240"/>
        <w:contextualSpacing w:val="0"/>
        <w:jc w:val="both"/>
        <w:rPr>
          <w:rFonts w:cs="Arial"/>
          <w:b/>
        </w:rPr>
      </w:pPr>
      <w:proofErr w:type="spellStart"/>
      <w:r w:rsidRPr="00F871AB">
        <w:rPr>
          <w:rFonts w:eastAsia="Calibri" w:cs="Calibri"/>
        </w:rPr>
        <w:t>Kindly</w:t>
      </w:r>
      <w:proofErr w:type="spellEnd"/>
      <w:r w:rsidRPr="00F871AB">
        <w:rPr>
          <w:rFonts w:eastAsia="Calibri" w:cs="Calibri"/>
        </w:rPr>
        <w:t xml:space="preserve"> review </w:t>
      </w:r>
      <w:proofErr w:type="spellStart"/>
      <w:r w:rsidRPr="00F871AB">
        <w:rPr>
          <w:rFonts w:eastAsia="Calibri" w:cs="Calibri"/>
        </w:rPr>
        <w:t>document</w:t>
      </w:r>
      <w:proofErr w:type="spellEnd"/>
      <w:r w:rsidRPr="00F871AB">
        <w:rPr>
          <w:rFonts w:eastAsia="Calibri" w:cs="Calibri"/>
        </w:rPr>
        <w:t xml:space="preserve">: </w:t>
      </w:r>
      <w:bookmarkStart w:id="5" w:name="_Hlk237521937"/>
      <w:r w:rsidRPr="00F871AB">
        <w:rPr>
          <w:rFonts w:cs="Arial"/>
          <w:b/>
        </w:rPr>
        <w:t>CSX 42 - Angebotswertungsmethoden und -kriterien.pdf</w:t>
      </w:r>
    </w:p>
    <w:bookmarkEnd w:id="5"/>
    <w:p w14:paraId="0A8EB00F" w14:textId="54C906AB" w:rsidR="00463C55" w:rsidRPr="00466F01" w:rsidRDefault="00446FAB" w:rsidP="00446FAB">
      <w:pPr>
        <w:spacing w:after="200" w:line="276" w:lineRule="auto"/>
        <w:rPr>
          <w:rFonts w:ascii="Calibri" w:eastAsia="Calibri" w:hAnsi="Calibri" w:cs="Calibri"/>
          <w:sz w:val="22"/>
          <w:lang w:val="en-GB"/>
        </w:rPr>
      </w:pPr>
      <w:r w:rsidRPr="00466F01">
        <w:rPr>
          <w:rFonts w:ascii="Calibri" w:eastAsia="Calibri" w:hAnsi="Calibri" w:cs="Calibri"/>
          <w:sz w:val="22"/>
          <w:lang w:val="en-GB"/>
        </w:rPr>
        <w:t>The following section explains the criteria by which the specified award criteria are evaluated:</w:t>
      </w:r>
    </w:p>
    <w:p w14:paraId="1F04DF7B" w14:textId="4533622D" w:rsidR="00463C55" w:rsidRPr="00466F01" w:rsidRDefault="00380243" w:rsidP="00D25CF2">
      <w:pPr>
        <w:pStyle w:val="Listenabsatz"/>
        <w:keepNext/>
        <w:jc w:val="both"/>
        <w:rPr>
          <w:rFonts w:cs="Arial"/>
          <w:b/>
          <w:bCs/>
          <w:lang w:val="en-GB"/>
        </w:rPr>
      </w:pPr>
      <w:r w:rsidRPr="00466F01">
        <w:rPr>
          <w:rFonts w:cs="Arial"/>
          <w:b/>
          <w:bCs/>
          <w:lang w:val="en-GB"/>
        </w:rPr>
        <w:t>6</w:t>
      </w:r>
      <w:r w:rsidR="00463C55" w:rsidRPr="00466F01">
        <w:rPr>
          <w:rFonts w:cs="Arial"/>
          <w:b/>
          <w:bCs/>
          <w:lang w:val="en-GB"/>
        </w:rPr>
        <w:t>.1</w:t>
      </w:r>
      <w:r w:rsidR="00463C55" w:rsidRPr="00466F01">
        <w:rPr>
          <w:rFonts w:cs="Arial"/>
          <w:b/>
          <w:bCs/>
          <w:lang w:val="en-GB"/>
        </w:rPr>
        <w:tab/>
      </w:r>
      <w:r w:rsidR="00845719" w:rsidRPr="00466F01">
        <w:rPr>
          <w:rFonts w:cs="Arial"/>
          <w:b/>
          <w:bCs/>
          <w:lang w:val="en-GB"/>
        </w:rPr>
        <w:t>Weighting of Award Criteria</w:t>
      </w:r>
    </w:p>
    <w:p w14:paraId="708F3CF3" w14:textId="77777777" w:rsidR="00D64971" w:rsidRDefault="00D64971" w:rsidP="00D64971">
      <w:pPr>
        <w:spacing w:after="200" w:line="276" w:lineRule="auto"/>
        <w:rPr>
          <w:rFonts w:ascii="Calibri" w:eastAsia="Calibri" w:hAnsi="Calibri" w:cs="Calibri"/>
          <w:sz w:val="22"/>
        </w:rPr>
      </w:pPr>
      <w:r>
        <w:rPr>
          <w:rFonts w:ascii="Calibri" w:eastAsia="Calibri" w:hAnsi="Calibri" w:cs="Calibri"/>
          <w:sz w:val="22"/>
          <w:lang w:val="en-GB"/>
        </w:rPr>
        <w:t>The evaluation is based on the price-quotient method. Price and performance are assigned the weighting factors (see above). The Price-Quotient-Method can be shown as follows:</w:t>
      </w:r>
    </w:p>
    <w:p w14:paraId="7766419A" w14:textId="1A8B54CA" w:rsidR="00CF46A7" w:rsidRDefault="00CF46A7" w:rsidP="00CF46A7">
      <w:pPr>
        <w:spacing w:after="200" w:line="276" w:lineRule="auto"/>
        <w:rPr>
          <w:rFonts w:ascii="Calibri" w:eastAsia="Calibri" w:hAnsi="Calibri" w:cs="Calibri"/>
          <w:sz w:val="22"/>
        </w:rPr>
      </w:pPr>
    </w:p>
    <w:tbl>
      <w:tblPr>
        <w:tblW w:w="7544" w:type="dxa"/>
        <w:tblInd w:w="108" w:type="dxa"/>
        <w:tblCellMar>
          <w:left w:w="10" w:type="dxa"/>
          <w:right w:w="10" w:type="dxa"/>
        </w:tblCellMar>
        <w:tblLook w:val="04A0" w:firstRow="1" w:lastRow="0" w:firstColumn="1" w:lastColumn="0" w:noHBand="0" w:noVBand="1"/>
      </w:tblPr>
      <w:tblGrid>
        <w:gridCol w:w="4425"/>
        <w:gridCol w:w="3119"/>
      </w:tblGrid>
      <w:tr w:rsidR="00CF46A7" w14:paraId="005148B2" w14:textId="77777777" w:rsidTr="00CF46A7">
        <w:tc>
          <w:tcPr>
            <w:tcW w:w="4425" w:type="dxa"/>
            <w:vMerge w:val="restart"/>
            <w:shd w:val="clear" w:color="auto" w:fill="FFFFFF"/>
            <w:tcMar>
              <w:top w:w="0" w:type="dxa"/>
              <w:left w:w="108" w:type="dxa"/>
              <w:bottom w:w="0" w:type="dxa"/>
              <w:right w:w="108" w:type="dxa"/>
            </w:tcMar>
            <w:vAlign w:val="center"/>
            <w:hideMark/>
          </w:tcPr>
          <w:p w14:paraId="28EFBB44" w14:textId="77777777" w:rsidR="00CF46A7" w:rsidRDefault="00CF46A7">
            <w:pPr>
              <w:tabs>
                <w:tab w:val="left" w:pos="7057"/>
              </w:tabs>
              <w:spacing w:after="0" w:line="240" w:lineRule="auto"/>
              <w:rPr>
                <w:rFonts w:ascii="Calibri" w:eastAsia="Calibri" w:hAnsi="Calibri" w:cs="Calibri"/>
                <w:sz w:val="22"/>
                <w:lang w:val="en-GB"/>
              </w:rPr>
            </w:pPr>
            <w:r>
              <w:rPr>
                <w:rFonts w:ascii="Calibri" w:eastAsia="Calibri" w:hAnsi="Calibri" w:cs="Calibri"/>
                <w:b/>
                <w:sz w:val="22"/>
                <w:lang w:val="en-GB"/>
              </w:rPr>
              <w:t>Z = G(Performance) * L(Tender) + G(Price) *</w:t>
            </w:r>
          </w:p>
        </w:tc>
        <w:tc>
          <w:tcPr>
            <w:tcW w:w="3119"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0FEFDF2C"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L (</w:t>
            </w:r>
            <w:proofErr w:type="spellStart"/>
            <w:r>
              <w:rPr>
                <w:rFonts w:ascii="Calibri" w:eastAsia="Calibri" w:hAnsi="Calibri" w:cs="Calibri"/>
                <w:b/>
                <w:sz w:val="22"/>
              </w:rPr>
              <w:t>best</w:t>
            </w:r>
            <w:proofErr w:type="spellEnd"/>
            <w:r>
              <w:rPr>
                <w:rFonts w:ascii="Calibri" w:eastAsia="Calibri" w:hAnsi="Calibri" w:cs="Calibri"/>
                <w:b/>
                <w:sz w:val="22"/>
              </w:rPr>
              <w:t>)* P(</w:t>
            </w:r>
            <w:proofErr w:type="spellStart"/>
            <w:r>
              <w:rPr>
                <w:rFonts w:ascii="Calibri" w:eastAsia="Calibri" w:hAnsi="Calibri" w:cs="Calibri"/>
                <w:b/>
                <w:sz w:val="22"/>
              </w:rPr>
              <w:t>lowest</w:t>
            </w:r>
            <w:proofErr w:type="spellEnd"/>
            <w:r>
              <w:rPr>
                <w:rFonts w:ascii="Calibri" w:eastAsia="Calibri" w:hAnsi="Calibri" w:cs="Calibri"/>
                <w:b/>
                <w:sz w:val="22"/>
              </w:rPr>
              <w:t>)</w:t>
            </w:r>
          </w:p>
        </w:tc>
      </w:tr>
      <w:tr w:rsidR="00CF46A7" w14:paraId="125DE2AE" w14:textId="77777777" w:rsidTr="00CF46A7">
        <w:tc>
          <w:tcPr>
            <w:tcW w:w="0" w:type="auto"/>
            <w:vMerge/>
            <w:vAlign w:val="center"/>
            <w:hideMark/>
          </w:tcPr>
          <w:p w14:paraId="495E807F" w14:textId="77777777" w:rsidR="00CF46A7" w:rsidRDefault="00CF46A7">
            <w:pPr>
              <w:spacing w:after="0" w:line="240" w:lineRule="auto"/>
              <w:rPr>
                <w:rFonts w:ascii="Calibri" w:eastAsia="Calibri" w:hAnsi="Calibri" w:cs="Calibri"/>
                <w:sz w:val="22"/>
                <w:lang w:val="en-GB"/>
              </w:rPr>
            </w:pPr>
          </w:p>
        </w:tc>
        <w:tc>
          <w:tcPr>
            <w:tcW w:w="3119" w:type="dxa"/>
            <w:tcBorders>
              <w:top w:val="single" w:sz="4" w:space="0" w:color="auto"/>
              <w:left w:val="nil"/>
              <w:bottom w:val="nil"/>
              <w:right w:val="nil"/>
            </w:tcBorders>
            <w:shd w:val="clear" w:color="auto" w:fill="FFFFFF"/>
            <w:tcMar>
              <w:top w:w="0" w:type="dxa"/>
              <w:left w:w="108" w:type="dxa"/>
              <w:bottom w:w="0" w:type="dxa"/>
              <w:right w:w="108" w:type="dxa"/>
            </w:tcMar>
            <w:vAlign w:val="center"/>
            <w:hideMark/>
          </w:tcPr>
          <w:p w14:paraId="49746BF1"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P(Tender)</w:t>
            </w:r>
          </w:p>
        </w:tc>
      </w:tr>
    </w:tbl>
    <w:p w14:paraId="36CDF6CB" w14:textId="77777777" w:rsidR="00CF46A7" w:rsidRDefault="00CF46A7" w:rsidP="00CF46A7">
      <w:pPr>
        <w:spacing w:after="200" w:line="276" w:lineRule="auto"/>
        <w:rPr>
          <w:rFonts w:ascii="Calibri" w:eastAsia="Calibri" w:hAnsi="Calibri" w:cs="Calibri"/>
          <w:sz w:val="22"/>
        </w:rPr>
      </w:pPr>
    </w:p>
    <w:p w14:paraId="1F2AD920" w14:textId="5362265B" w:rsidR="00845719" w:rsidRPr="00466F01" w:rsidRDefault="00845719" w:rsidP="00CF46A7">
      <w:pPr>
        <w:spacing w:after="200" w:line="276" w:lineRule="auto"/>
        <w:rPr>
          <w:rFonts w:ascii="Calibri" w:eastAsia="Calibri" w:hAnsi="Calibri" w:cs="Calibri"/>
          <w:sz w:val="22"/>
          <w:lang w:val="en-GB"/>
        </w:rPr>
      </w:pPr>
      <w:r w:rsidRPr="00466F01">
        <w:rPr>
          <w:rFonts w:ascii="Calibri" w:eastAsia="Calibri" w:hAnsi="Calibri" w:cs="Calibri"/>
          <w:sz w:val="22"/>
          <w:lang w:val="en-GB"/>
        </w:rPr>
        <w:t>The individual components of the formula are specified as follows:</w:t>
      </w:r>
    </w:p>
    <w:p w14:paraId="0FB4065B" w14:textId="64FD9BE5"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Z(Tender) = </w:t>
      </w:r>
      <w:r w:rsidRPr="00466F01">
        <w:rPr>
          <w:rFonts w:ascii="Calibri" w:eastAsia="Calibri" w:hAnsi="Calibri" w:cs="Calibri"/>
          <w:sz w:val="22"/>
          <w:lang w:val="en-GB"/>
        </w:rPr>
        <w:tab/>
        <w:t>Weighted score for price/performance evaluation of the evaluable tender</w:t>
      </w:r>
    </w:p>
    <w:p w14:paraId="08648AAF" w14:textId="77777777"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G(Performance) = Weighting factor for the performance criteria of the evaluable tender according to the above chart</w:t>
      </w:r>
    </w:p>
    <w:p w14:paraId="142902D7" w14:textId="77777777" w:rsidR="00845719" w:rsidRPr="00466F01" w:rsidRDefault="00845719" w:rsidP="00845719">
      <w:pPr>
        <w:spacing w:after="200" w:line="276" w:lineRule="auto"/>
        <w:ind w:left="1276" w:hanging="1276"/>
        <w:rPr>
          <w:rFonts w:ascii="Calibri" w:eastAsia="Calibri" w:hAnsi="Calibri" w:cs="Calibri"/>
          <w:sz w:val="22"/>
          <w:lang w:val="en-GB"/>
        </w:rPr>
      </w:pPr>
    </w:p>
    <w:p w14:paraId="29C6B80F" w14:textId="478FE380" w:rsidR="00845719" w:rsidRPr="00466F01" w:rsidRDefault="00845719" w:rsidP="00466F01">
      <w:pPr>
        <w:spacing w:after="200" w:line="276" w:lineRule="auto"/>
        <w:ind w:left="1077" w:hanging="1077"/>
        <w:rPr>
          <w:rFonts w:ascii="Calibri" w:eastAsia="Calibri" w:hAnsi="Calibri" w:cs="Calibri"/>
          <w:sz w:val="22"/>
          <w:lang w:val="en-GB"/>
        </w:rPr>
      </w:pPr>
      <w:r w:rsidRPr="00466F01">
        <w:rPr>
          <w:rFonts w:ascii="Calibri" w:eastAsia="Calibri" w:hAnsi="Calibri" w:cs="Calibri"/>
          <w:sz w:val="22"/>
          <w:lang w:val="en-GB"/>
        </w:rPr>
        <w:t xml:space="preserve">L(Tender) = </w:t>
      </w:r>
      <w:r w:rsidRPr="00466F01">
        <w:rPr>
          <w:rFonts w:ascii="Calibri" w:eastAsia="Calibri" w:hAnsi="Calibri" w:cs="Calibri"/>
          <w:sz w:val="22"/>
          <w:lang w:val="en-GB"/>
        </w:rPr>
        <w:tab/>
        <w:t>Total score of the performance criteria of the evaluable tender as reference value</w:t>
      </w:r>
    </w:p>
    <w:p w14:paraId="029EB22B" w14:textId="76178D5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G(Price) = </w:t>
      </w:r>
      <w:r w:rsidRPr="00466F01">
        <w:rPr>
          <w:rFonts w:ascii="Calibri" w:eastAsia="Calibri" w:hAnsi="Calibri" w:cs="Calibri"/>
          <w:sz w:val="22"/>
          <w:lang w:val="en-GB"/>
        </w:rPr>
        <w:tab/>
        <w:t>Weighting factor for the total bid price of the evaluable tender in accordance with the above chart</w:t>
      </w:r>
    </w:p>
    <w:p w14:paraId="4F9AB757" w14:textId="0096861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lastRenderedPageBreak/>
        <w:t xml:space="preserve">L(best) = </w:t>
      </w:r>
      <w:r w:rsidRPr="00466F01">
        <w:rPr>
          <w:rFonts w:ascii="Calibri" w:eastAsia="Calibri" w:hAnsi="Calibri" w:cs="Calibri"/>
          <w:sz w:val="22"/>
          <w:lang w:val="en-GB"/>
        </w:rPr>
        <w:tab/>
        <w:t xml:space="preserve">Best overall score of the performance criteria of the evaluable tenders </w:t>
      </w:r>
    </w:p>
    <w:p w14:paraId="0F615ADB" w14:textId="29A31CD0"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P(lowest) = </w:t>
      </w:r>
      <w:r w:rsidRPr="00466F01">
        <w:rPr>
          <w:rFonts w:ascii="Calibri" w:eastAsia="Calibri" w:hAnsi="Calibri" w:cs="Calibri"/>
          <w:sz w:val="22"/>
          <w:lang w:val="en-GB"/>
        </w:rPr>
        <w:tab/>
        <w:t xml:space="preserve">Lowest total tender price of the evaluable tenders </w:t>
      </w:r>
    </w:p>
    <w:p w14:paraId="60BE0A0E" w14:textId="55DB4A43" w:rsidR="00463C55" w:rsidRPr="00EE38F3" w:rsidRDefault="00845719" w:rsidP="00EE38F3">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P(Tender) = </w:t>
      </w:r>
      <w:r w:rsidRPr="00466F01">
        <w:rPr>
          <w:rFonts w:ascii="Calibri" w:eastAsia="Calibri" w:hAnsi="Calibri" w:cs="Calibri"/>
          <w:sz w:val="22"/>
          <w:lang w:val="en-GB"/>
        </w:rPr>
        <w:tab/>
        <w:t>Total tender price of the evaluable tender</w:t>
      </w:r>
    </w:p>
    <w:p w14:paraId="6197C8F5" w14:textId="2F18AE0D" w:rsidR="00D25CF2"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.2</w:t>
      </w:r>
      <w:r w:rsidR="00463C55" w:rsidRPr="00466F01">
        <w:rPr>
          <w:rFonts w:ascii="Calibri" w:hAnsi="Calibri" w:cs="Arial"/>
          <w:b/>
          <w:bCs/>
          <w:sz w:val="22"/>
          <w:lang w:val="en-GB"/>
        </w:rPr>
        <w:tab/>
      </w:r>
      <w:r w:rsidR="00845719" w:rsidRPr="00466F01">
        <w:rPr>
          <w:rFonts w:ascii="Calibri" w:eastAsia="Calibri" w:hAnsi="Calibri" w:cs="Calibri"/>
          <w:b/>
          <w:sz w:val="22"/>
          <w:lang w:val="en-GB"/>
        </w:rPr>
        <w:t>Award Criterion "Total Tender Price"</w:t>
      </w:r>
    </w:p>
    <w:p w14:paraId="5505F032" w14:textId="67B86E7D"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context of the award criterion "total tender price", in the price quotations are taken into account as follows:</w:t>
      </w:r>
    </w:p>
    <w:p w14:paraId="6DD7BED9" w14:textId="1941A9D0" w:rsidR="00845719" w:rsidRPr="002001E5" w:rsidRDefault="00845719" w:rsidP="00845719">
      <w:pPr>
        <w:spacing w:after="200" w:line="276" w:lineRule="auto"/>
        <w:rPr>
          <w:rFonts w:ascii="Calibri" w:eastAsia="Calibri" w:hAnsi="Calibri" w:cs="Calibri"/>
          <w:sz w:val="22"/>
          <w:lang w:val="en-GB"/>
        </w:rPr>
      </w:pPr>
      <w:r w:rsidRPr="002001E5">
        <w:rPr>
          <w:rFonts w:ascii="Calibri" w:eastAsia="Calibri" w:hAnsi="Calibri" w:cs="Calibri"/>
          <w:sz w:val="22"/>
          <w:lang w:val="en-GB"/>
        </w:rPr>
        <w:t xml:space="preserve">In order to submit a tender in terms of price, the </w:t>
      </w:r>
      <w:r w:rsidRPr="002001E5">
        <w:rPr>
          <w:rFonts w:ascii="Calibri" w:hAnsi="Calibri" w:cs="Calibri"/>
          <w:b/>
          <w:sz w:val="22"/>
          <w:lang w:val="en-US"/>
        </w:rPr>
        <w:t>form</w:t>
      </w:r>
      <w:r w:rsidR="00466F01" w:rsidRPr="002001E5">
        <w:rPr>
          <w:rFonts w:ascii="Calibri" w:hAnsi="Calibri" w:cs="Calibri"/>
          <w:b/>
          <w:sz w:val="22"/>
          <w:lang w:val="en-US"/>
        </w:rPr>
        <w:t xml:space="preserve"> tender</w:t>
      </w:r>
      <w:r w:rsidRPr="002001E5">
        <w:rPr>
          <w:rFonts w:ascii="Calibri" w:eastAsia="Calibri" w:hAnsi="Calibri" w:cs="Calibri"/>
          <w:sz w:val="22"/>
          <w:lang w:val="en-GB"/>
        </w:rPr>
        <w:t xml:space="preserve"> must be completed, the specifications of which are described in more detail in the </w:t>
      </w:r>
      <w:r w:rsidRPr="002001E5">
        <w:rPr>
          <w:rFonts w:ascii="Calibri" w:hAnsi="Calibri" w:cs="Calibri"/>
          <w:sz w:val="22"/>
          <w:lang w:val="en-US"/>
        </w:rPr>
        <w:t>form</w:t>
      </w:r>
      <w:r w:rsidR="00466F01" w:rsidRPr="002001E5">
        <w:rPr>
          <w:rFonts w:ascii="Calibri" w:hAnsi="Calibri" w:cs="Calibri"/>
          <w:sz w:val="22"/>
          <w:lang w:val="en-US"/>
        </w:rPr>
        <w:t xml:space="preserve"> tender</w:t>
      </w:r>
      <w:r w:rsidRPr="002001E5">
        <w:rPr>
          <w:rFonts w:ascii="Calibri" w:hAnsi="Calibri" w:cs="Calibri"/>
          <w:sz w:val="22"/>
          <w:lang w:val="en-US"/>
        </w:rPr>
        <w:t xml:space="preserve"> itself</w:t>
      </w:r>
      <w:r w:rsidRPr="002001E5">
        <w:rPr>
          <w:rFonts w:ascii="Calibri" w:eastAsia="Calibri" w:hAnsi="Calibri" w:cs="Calibri"/>
          <w:sz w:val="22"/>
          <w:lang w:val="en-GB"/>
        </w:rPr>
        <w:t xml:space="preserve"> and in the service description.</w:t>
      </w:r>
    </w:p>
    <w:p w14:paraId="02929A5F" w14:textId="0E57EC6D" w:rsidR="00845719" w:rsidRDefault="00845719" w:rsidP="00EE38F3">
      <w:pPr>
        <w:rPr>
          <w:rFonts w:ascii="Calibri" w:hAnsi="Calibri" w:cs="Calibri"/>
          <w:sz w:val="22"/>
          <w:lang w:val="en-US"/>
        </w:rPr>
      </w:pPr>
      <w:r w:rsidRPr="002001E5">
        <w:rPr>
          <w:rFonts w:ascii="Calibri" w:hAnsi="Calibri" w:cs="Calibri"/>
          <w:sz w:val="22"/>
          <w:lang w:val="en-US"/>
        </w:rPr>
        <w:t>Only the prices stated in the form</w:t>
      </w:r>
      <w:r w:rsidR="00466F01" w:rsidRPr="002001E5">
        <w:rPr>
          <w:rFonts w:ascii="Calibri" w:hAnsi="Calibri" w:cs="Calibri"/>
          <w:sz w:val="22"/>
          <w:lang w:val="en-US"/>
        </w:rPr>
        <w:t xml:space="preserve"> tender</w:t>
      </w:r>
      <w:r w:rsidRPr="002001E5">
        <w:rPr>
          <w:rFonts w:ascii="Calibri" w:hAnsi="Calibri" w:cs="Calibri"/>
          <w:sz w:val="22"/>
          <w:lang w:val="en-US"/>
        </w:rPr>
        <w:t xml:space="preserve"> are binding for the provision of services. </w:t>
      </w:r>
    </w:p>
    <w:p w14:paraId="60433BBF" w14:textId="77777777" w:rsidR="002001E5" w:rsidRPr="00EE38F3" w:rsidRDefault="002001E5" w:rsidP="00EE38F3">
      <w:pPr>
        <w:rPr>
          <w:rFonts w:ascii="Calibri" w:hAnsi="Calibri" w:cs="Calibri"/>
          <w:sz w:val="22"/>
          <w:lang w:val="en-US"/>
        </w:rPr>
      </w:pPr>
    </w:p>
    <w:p w14:paraId="5DE29671" w14:textId="610A3111" w:rsidR="00845719"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.3</w:t>
      </w:r>
      <w:r w:rsidR="00463C55" w:rsidRPr="00466F01">
        <w:rPr>
          <w:rFonts w:ascii="Calibri" w:hAnsi="Calibri" w:cs="Arial"/>
          <w:b/>
          <w:bCs/>
          <w:sz w:val="22"/>
          <w:lang w:val="en-GB"/>
        </w:rPr>
        <w:tab/>
      </w:r>
      <w:r w:rsidR="00845719" w:rsidRPr="00466F01">
        <w:rPr>
          <w:rFonts w:ascii="Calibri" w:eastAsia="Calibri" w:hAnsi="Calibri" w:cs="Calibri"/>
          <w:b/>
          <w:sz w:val="22"/>
          <w:lang w:val="en-GB"/>
        </w:rPr>
        <w:t>Valuation for Performance Criteria</w:t>
      </w:r>
    </w:p>
    <w:p w14:paraId="568D8F0B" w14:textId="56838F5D" w:rsidR="00111871" w:rsidRPr="00111871" w:rsidRDefault="00111871" w:rsidP="00111871">
      <w:pPr>
        <w:pStyle w:val="Listenabsatz"/>
        <w:spacing w:after="240"/>
        <w:contextualSpacing w:val="0"/>
        <w:jc w:val="both"/>
        <w:rPr>
          <w:rFonts w:cs="Arial"/>
          <w:bCs/>
        </w:rPr>
      </w:pPr>
      <w:r w:rsidRPr="00111871">
        <w:rPr>
          <w:rFonts w:cs="Arial"/>
          <w:bCs/>
        </w:rPr>
        <w:t xml:space="preserve">See </w:t>
      </w:r>
      <w:r w:rsidR="008145DB">
        <w:rPr>
          <w:rFonts w:cs="Arial"/>
          <w:bCs/>
        </w:rPr>
        <w:t>Dokument</w:t>
      </w:r>
      <w:r w:rsidR="00772BB4">
        <w:rPr>
          <w:rFonts w:cs="Arial"/>
          <w:bCs/>
        </w:rPr>
        <w:t xml:space="preserve"> </w:t>
      </w:r>
      <w:r w:rsidRPr="00111871">
        <w:rPr>
          <w:rFonts w:cs="Arial"/>
          <w:b/>
        </w:rPr>
        <w:t>CSX 42</w:t>
      </w:r>
      <w:r w:rsidRPr="00111871">
        <w:rPr>
          <w:rFonts w:cs="Arial"/>
          <w:bCs/>
        </w:rPr>
        <w:t xml:space="preserve"> - Angebotswertungsmethoden und -kriterien.pdf</w:t>
      </w:r>
    </w:p>
    <w:p w14:paraId="547714F3" w14:textId="77777777" w:rsidR="00111871" w:rsidRPr="00111871" w:rsidRDefault="00111871" w:rsidP="00845719">
      <w:pPr>
        <w:spacing w:after="200" w:line="276" w:lineRule="auto"/>
        <w:rPr>
          <w:rFonts w:ascii="Calibri" w:eastAsia="Calibri" w:hAnsi="Calibri" w:cs="Calibri"/>
          <w:b/>
          <w:sz w:val="22"/>
        </w:rPr>
      </w:pPr>
    </w:p>
    <w:p w14:paraId="29A4F5A4" w14:textId="6CE24CB3" w:rsidR="00D606E7" w:rsidRPr="00A13AE5" w:rsidRDefault="00977613" w:rsidP="00D606E7">
      <w:pPr>
        <w:tabs>
          <w:tab w:val="left" w:pos="3686"/>
        </w:tabs>
        <w:spacing w:line="278" w:lineRule="auto"/>
        <w:rPr>
          <w:rFonts w:ascii="Calibri" w:eastAsia="Calibri" w:hAnsi="Calibri" w:cs="Calibri"/>
          <w:b/>
          <w:sz w:val="22"/>
          <w:lang w:val="en-GB"/>
        </w:rPr>
      </w:pPr>
      <w:r w:rsidRPr="00A13AE5">
        <w:rPr>
          <w:rFonts w:ascii="Calibri" w:hAnsi="Calibri" w:cs="Arial"/>
          <w:b/>
          <w:sz w:val="22"/>
          <w:lang w:val="en-GB"/>
        </w:rPr>
        <w:t>7</w:t>
      </w:r>
      <w:r w:rsidR="00463C55" w:rsidRPr="00A13AE5">
        <w:rPr>
          <w:rFonts w:ascii="Calibri" w:hAnsi="Calibri" w:cs="Arial"/>
          <w:b/>
          <w:sz w:val="22"/>
          <w:lang w:val="en-GB"/>
        </w:rPr>
        <w:t xml:space="preserve">. </w:t>
      </w:r>
      <w:r w:rsidR="00D606E7" w:rsidRPr="00A13AE5">
        <w:rPr>
          <w:rFonts w:ascii="Calibri" w:eastAsia="Calibri" w:hAnsi="Calibri" w:cs="Calibri"/>
          <w:b/>
          <w:sz w:val="22"/>
          <w:lang w:val="en-GB"/>
        </w:rPr>
        <w:t xml:space="preserve">Alternative Tender, § 35 </w:t>
      </w:r>
      <w:proofErr w:type="spellStart"/>
      <w:r w:rsidR="00D606E7" w:rsidRPr="00A13AE5">
        <w:rPr>
          <w:rFonts w:ascii="Calibri" w:eastAsia="Calibri" w:hAnsi="Calibri" w:cs="Calibri"/>
          <w:b/>
          <w:sz w:val="22"/>
          <w:lang w:val="en-GB"/>
        </w:rPr>
        <w:t>VgV</w:t>
      </w:r>
      <w:proofErr w:type="spellEnd"/>
    </w:p>
    <w:p w14:paraId="387070D1" w14:textId="2120E388" w:rsidR="00D606E7" w:rsidRDefault="00D606E7" w:rsidP="00EE38F3">
      <w:pPr>
        <w:spacing w:after="200" w:line="276" w:lineRule="auto"/>
        <w:rPr>
          <w:rFonts w:ascii="Calibri" w:hAnsi="Calibri" w:cs="Calibri"/>
          <w:b/>
          <w:sz w:val="22"/>
          <w:lang w:val="en-US"/>
        </w:rPr>
      </w:pPr>
      <w:r w:rsidRPr="00A13AE5">
        <w:rPr>
          <w:rFonts w:ascii="Calibri" w:hAnsi="Calibri" w:cs="Calibri"/>
          <w:b/>
          <w:sz w:val="22"/>
          <w:lang w:val="en-US"/>
        </w:rPr>
        <w:t>Alternative tenders are not permitted.</w:t>
      </w:r>
    </w:p>
    <w:p w14:paraId="05C5970D" w14:textId="77777777" w:rsidR="00A13AE5" w:rsidRPr="00A13AE5" w:rsidRDefault="00A13AE5" w:rsidP="00EE38F3">
      <w:pPr>
        <w:spacing w:after="200" w:line="276" w:lineRule="auto"/>
        <w:rPr>
          <w:rFonts w:ascii="Calibri" w:hAnsi="Calibri" w:cs="Calibri"/>
          <w:b/>
          <w:sz w:val="22"/>
          <w:lang w:val="en-US"/>
        </w:rPr>
      </w:pPr>
    </w:p>
    <w:p w14:paraId="777EBBE8" w14:textId="2C650A31"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8</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Explanatory Notes </w:t>
      </w:r>
      <w:r w:rsidR="00E045EB">
        <w:rPr>
          <w:rFonts w:ascii="Calibri" w:eastAsia="Calibri" w:hAnsi="Calibri" w:cs="Calibri"/>
          <w:b/>
          <w:sz w:val="22"/>
          <w:lang w:val="en-GB"/>
        </w:rPr>
        <w:t>on</w:t>
      </w:r>
      <w:r w:rsidR="00D606E7" w:rsidRPr="00466F01">
        <w:rPr>
          <w:rFonts w:ascii="Calibri" w:eastAsia="Calibri" w:hAnsi="Calibri" w:cs="Calibri"/>
          <w:b/>
          <w:sz w:val="22"/>
          <w:lang w:val="en-GB"/>
        </w:rPr>
        <w:t xml:space="preserve"> the Tender</w:t>
      </w:r>
    </w:p>
    <w:p w14:paraId="7B0263B4" w14:textId="0165CC57" w:rsidR="00977613" w:rsidRPr="00466F01" w:rsidRDefault="00D606E7" w:rsidP="00977613">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Bidder submits the tender with a document attached that explains the total tender price and the technical data of the scope of supply and services offered in detail. The information required under technical specifications must be documented. All system components must be listed and described in detail.</w:t>
      </w:r>
    </w:p>
    <w:p w14:paraId="78B528B7" w14:textId="5D74051B"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9</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Industrial Property Rights, § 53 para. 8 </w:t>
      </w:r>
      <w:proofErr w:type="spellStart"/>
      <w:r w:rsidR="00D606E7" w:rsidRPr="00466F01">
        <w:rPr>
          <w:rFonts w:ascii="Calibri" w:eastAsia="Calibri" w:hAnsi="Calibri" w:cs="Calibri"/>
          <w:b/>
          <w:sz w:val="22"/>
          <w:lang w:val="en-GB"/>
        </w:rPr>
        <w:t>VgV</w:t>
      </w:r>
      <w:proofErr w:type="spellEnd"/>
    </w:p>
    <w:p w14:paraId="58E7FC66" w14:textId="51660BB4" w:rsidR="00D606E7" w:rsidRDefault="00D606E7" w:rsidP="00D606E7">
      <w:pPr>
        <w:tabs>
          <w:tab w:val="left" w:pos="3686"/>
        </w:tabs>
        <w:spacing w:line="278" w:lineRule="auto"/>
        <w:rPr>
          <w:rFonts w:ascii="Calibri" w:eastAsia="Calibri" w:hAnsi="Calibri" w:cs="Calibri"/>
          <w:sz w:val="22"/>
          <w:lang w:val="en-GB"/>
        </w:rPr>
      </w:pPr>
      <w:r w:rsidRPr="008A2EE7">
        <w:rPr>
          <w:rFonts w:ascii="Calibri" w:eastAsia="Calibri" w:hAnsi="Calibri" w:cs="Calibri"/>
          <w:sz w:val="22"/>
          <w:lang w:val="en-GB"/>
        </w:rPr>
        <w:t xml:space="preserve">If industrial property rights exist for and apply to the subject of the tender or have been applied for by Bidder or others, this must be stated under Explanatory Notes </w:t>
      </w:r>
      <w:r w:rsidR="00E045EB">
        <w:rPr>
          <w:rFonts w:ascii="Calibri" w:eastAsia="Calibri" w:hAnsi="Calibri" w:cs="Calibri"/>
          <w:sz w:val="22"/>
          <w:lang w:val="en-GB"/>
        </w:rPr>
        <w:t>on</w:t>
      </w:r>
      <w:r w:rsidRPr="008A2EE7">
        <w:rPr>
          <w:rFonts w:ascii="Calibri" w:eastAsia="Calibri" w:hAnsi="Calibri" w:cs="Calibri"/>
          <w:sz w:val="22"/>
          <w:lang w:val="en-GB"/>
        </w:rPr>
        <w:t xml:space="preserve"> the Tender. If Bidder is considering making information from their tender the</w:t>
      </w:r>
      <w:r w:rsidRPr="00466F01">
        <w:rPr>
          <w:rFonts w:ascii="Calibri" w:eastAsia="Calibri" w:hAnsi="Calibri" w:cs="Calibri"/>
          <w:sz w:val="22"/>
          <w:lang w:val="en-GB"/>
        </w:rPr>
        <w:t xml:space="preserve"> subject of an application for an industrial property right, this must be clearly stated under Explanatory Notes </w:t>
      </w:r>
      <w:r w:rsidR="00E045EB">
        <w:rPr>
          <w:rFonts w:ascii="Calibri" w:eastAsia="Calibri" w:hAnsi="Calibri" w:cs="Calibri"/>
          <w:sz w:val="22"/>
          <w:lang w:val="en-GB"/>
        </w:rPr>
        <w:t>on</w:t>
      </w:r>
      <w:r w:rsidRPr="00466F01">
        <w:rPr>
          <w:rFonts w:ascii="Calibri" w:eastAsia="Calibri" w:hAnsi="Calibri" w:cs="Calibri"/>
          <w:sz w:val="22"/>
          <w:lang w:val="en-GB"/>
        </w:rPr>
        <w:t xml:space="preserve"> the Tender.</w:t>
      </w:r>
    </w:p>
    <w:p w14:paraId="0583F3A1" w14:textId="3803757A" w:rsidR="00963B60" w:rsidRDefault="00963B60" w:rsidP="00963B60">
      <w:pPr>
        <w:tabs>
          <w:tab w:val="left" w:pos="3686"/>
        </w:tabs>
        <w:spacing w:line="276" w:lineRule="auto"/>
        <w:rPr>
          <w:rFonts w:ascii="Calibri" w:hAnsi="Calibri" w:cs="Arial"/>
          <w:b/>
          <w:sz w:val="22"/>
          <w:lang w:val="en-US"/>
        </w:rPr>
      </w:pPr>
      <w:r>
        <w:rPr>
          <w:rFonts w:ascii="Calibri" w:hAnsi="Calibri" w:cs="Arial"/>
          <w:b/>
          <w:sz w:val="22"/>
          <w:lang w:val="en-US"/>
        </w:rPr>
        <w:lastRenderedPageBreak/>
        <w:t>10. Notice for economic operators from third countries (</w:t>
      </w:r>
      <w:proofErr w:type="gramStart"/>
      <w:r>
        <w:rPr>
          <w:rFonts w:ascii="Calibri" w:hAnsi="Calibri" w:cs="Arial"/>
          <w:b/>
          <w:sz w:val="22"/>
          <w:lang w:val="en-US"/>
        </w:rPr>
        <w:t>Non-EU</w:t>
      </w:r>
      <w:proofErr w:type="gramEnd"/>
      <w:r>
        <w:rPr>
          <w:rFonts w:ascii="Calibri" w:hAnsi="Calibri" w:cs="Arial"/>
          <w:b/>
          <w:sz w:val="22"/>
          <w:lang w:val="en-US"/>
        </w:rPr>
        <w:t>) that have not concluded an international agreement with the EU in the field of public procurement.</w:t>
      </w:r>
    </w:p>
    <w:p w14:paraId="32262036" w14:textId="77777777" w:rsidR="00963B60" w:rsidRDefault="00963B60" w:rsidP="00963B60">
      <w:pPr>
        <w:tabs>
          <w:tab w:val="left" w:pos="3686"/>
        </w:tabs>
        <w:spacing w:line="276" w:lineRule="auto"/>
        <w:rPr>
          <w:rFonts w:ascii="Calibri" w:hAnsi="Calibri" w:cs="Arial"/>
          <w:bCs/>
          <w:sz w:val="22"/>
          <w:lang w:val="en-US"/>
        </w:rPr>
      </w:pPr>
      <w:r>
        <w:rPr>
          <w:rFonts w:ascii="Calibri" w:hAnsi="Calibri" w:cs="Arial"/>
          <w:bCs/>
          <w:sz w:val="22"/>
          <w:lang w:val="en-US"/>
        </w:rPr>
        <w:t>The contracting authority reserves the right to exclude economic operators from third countries that have not concluded an international agreement with the EU in the field of public procurement at any time during the procedure – even without stating reasons. This also includes bidding consortiums in which at least one such economic operator is involved. However, it does not apply to cases in which such an economic operator is planned only as a subcontractor.</w:t>
      </w:r>
    </w:p>
    <w:p w14:paraId="44C0920B" w14:textId="68EA9D87"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1</w:t>
      </w:r>
      <w:r w:rsidR="00963B60">
        <w:rPr>
          <w:rFonts w:ascii="Calibri" w:hAnsi="Calibri" w:cs="Arial"/>
          <w:b/>
          <w:sz w:val="22"/>
          <w:lang w:val="en-GB"/>
        </w:rPr>
        <w:t>1</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Competent Authority for Appeals, Other Information</w:t>
      </w:r>
    </w:p>
    <w:p w14:paraId="2AAF76E1" w14:textId="77777777" w:rsidR="00D606E7" w:rsidRPr="00466F01" w:rsidRDefault="00D606E7" w:rsidP="00D606E7">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The competent reviewing authority is</w:t>
      </w:r>
    </w:p>
    <w:p w14:paraId="28706923" w14:textId="77777777" w:rsidR="00D606E7" w:rsidRPr="00466F01" w:rsidRDefault="00D606E7" w:rsidP="00D606E7">
      <w:pPr>
        <w:tabs>
          <w:tab w:val="left" w:pos="3686"/>
        </w:tabs>
        <w:spacing w:after="0" w:line="278" w:lineRule="auto"/>
        <w:ind w:left="709"/>
        <w:rPr>
          <w:rFonts w:ascii="Calibri" w:eastAsia="Calibri" w:hAnsi="Calibri" w:cs="Calibri"/>
          <w:sz w:val="22"/>
          <w:lang w:val="en-GB"/>
        </w:rPr>
      </w:pPr>
      <w:proofErr w:type="spellStart"/>
      <w:r w:rsidRPr="00466F01">
        <w:rPr>
          <w:rFonts w:ascii="Calibri" w:eastAsia="Calibri" w:hAnsi="Calibri" w:cs="Calibri"/>
          <w:sz w:val="22"/>
          <w:lang w:val="en-GB"/>
        </w:rPr>
        <w:t>Vergabekammer</w:t>
      </w:r>
      <w:proofErr w:type="spellEnd"/>
      <w:r w:rsidRPr="00466F01">
        <w:rPr>
          <w:rFonts w:ascii="Calibri" w:eastAsia="Calibri" w:hAnsi="Calibri" w:cs="Calibri"/>
          <w:sz w:val="22"/>
          <w:lang w:val="en-GB"/>
        </w:rPr>
        <w:t xml:space="preserve"> des </w:t>
      </w:r>
      <w:proofErr w:type="spellStart"/>
      <w:r w:rsidRPr="00466F01">
        <w:rPr>
          <w:rFonts w:ascii="Calibri" w:eastAsia="Calibri" w:hAnsi="Calibri" w:cs="Calibri"/>
          <w:sz w:val="22"/>
          <w:lang w:val="en-GB"/>
        </w:rPr>
        <w:t>Bundes</w:t>
      </w:r>
      <w:proofErr w:type="spellEnd"/>
      <w:r w:rsidRPr="00466F01">
        <w:rPr>
          <w:rFonts w:ascii="Calibri" w:eastAsia="Calibri" w:hAnsi="Calibri" w:cs="Calibri"/>
          <w:sz w:val="22"/>
          <w:lang w:val="en-GB"/>
        </w:rPr>
        <w:t xml:space="preserve"> [transl.: Federal Public Procurement Tribunal]</w:t>
      </w:r>
    </w:p>
    <w:p w14:paraId="7B7E1D8E"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proofErr w:type="spellStart"/>
      <w:r w:rsidRPr="00292F6E">
        <w:rPr>
          <w:rFonts w:ascii="Calibri" w:eastAsia="Calibri" w:hAnsi="Calibri" w:cs="Calibri"/>
          <w:sz w:val="22"/>
          <w:lang w:val="fr-FR"/>
        </w:rPr>
        <w:t>Villemombler</w:t>
      </w:r>
      <w:proofErr w:type="spellEnd"/>
      <w:r w:rsidRPr="00292F6E">
        <w:rPr>
          <w:rFonts w:ascii="Calibri" w:eastAsia="Calibri" w:hAnsi="Calibri" w:cs="Calibri"/>
          <w:sz w:val="22"/>
          <w:lang w:val="fr-FR"/>
        </w:rPr>
        <w:t xml:space="preserve"> </w:t>
      </w:r>
      <w:proofErr w:type="spellStart"/>
      <w:r w:rsidRPr="00292F6E">
        <w:rPr>
          <w:rFonts w:ascii="Calibri" w:eastAsia="Calibri" w:hAnsi="Calibri" w:cs="Calibri"/>
          <w:sz w:val="22"/>
          <w:lang w:val="fr-FR"/>
        </w:rPr>
        <w:t>Straße</w:t>
      </w:r>
      <w:proofErr w:type="spellEnd"/>
      <w:r w:rsidRPr="00292F6E">
        <w:rPr>
          <w:rFonts w:ascii="Calibri" w:eastAsia="Calibri" w:hAnsi="Calibri" w:cs="Calibri"/>
          <w:sz w:val="22"/>
          <w:lang w:val="fr-FR"/>
        </w:rPr>
        <w:t xml:space="preserve"> 76</w:t>
      </w:r>
    </w:p>
    <w:p w14:paraId="3040D97B"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53123 Bonn</w:t>
      </w:r>
    </w:p>
    <w:p w14:paraId="42E41821"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Tel</w:t>
      </w:r>
      <w:proofErr w:type="gramStart"/>
      <w:r w:rsidRPr="00292F6E">
        <w:rPr>
          <w:rFonts w:ascii="Calibri" w:eastAsia="Calibri" w:hAnsi="Calibri" w:cs="Calibri"/>
          <w:sz w:val="22"/>
          <w:lang w:val="fr-FR"/>
        </w:rPr>
        <w:t>.:</w:t>
      </w:r>
      <w:proofErr w:type="gramEnd"/>
      <w:r w:rsidRPr="00292F6E">
        <w:rPr>
          <w:rFonts w:ascii="Calibri" w:eastAsia="Calibri" w:hAnsi="Calibri" w:cs="Calibri"/>
          <w:sz w:val="22"/>
          <w:lang w:val="fr-FR"/>
        </w:rPr>
        <w:t xml:space="preserve"> 0228 9499-0</w:t>
      </w:r>
    </w:p>
    <w:p w14:paraId="437E78AA"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proofErr w:type="gramStart"/>
      <w:r w:rsidRPr="00292F6E">
        <w:rPr>
          <w:rFonts w:ascii="Calibri" w:eastAsia="Calibri" w:hAnsi="Calibri" w:cs="Calibri"/>
          <w:sz w:val="22"/>
          <w:lang w:val="fr-FR"/>
        </w:rPr>
        <w:t>Fax:</w:t>
      </w:r>
      <w:proofErr w:type="gramEnd"/>
      <w:r w:rsidRPr="00292F6E">
        <w:rPr>
          <w:rFonts w:ascii="Calibri" w:eastAsia="Calibri" w:hAnsi="Calibri" w:cs="Calibri"/>
          <w:sz w:val="22"/>
          <w:lang w:val="fr-FR"/>
        </w:rPr>
        <w:t xml:space="preserve"> 0228 9499-163</w:t>
      </w:r>
    </w:p>
    <w:p w14:paraId="65E7E0F4"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proofErr w:type="gramStart"/>
      <w:r w:rsidRPr="00292F6E">
        <w:rPr>
          <w:rFonts w:ascii="Calibri" w:eastAsia="Calibri" w:hAnsi="Calibri" w:cs="Calibri"/>
          <w:sz w:val="22"/>
          <w:lang w:val="fr-FR"/>
        </w:rPr>
        <w:t>Email:</w:t>
      </w:r>
      <w:proofErr w:type="gramEnd"/>
      <w:r w:rsidRPr="00292F6E">
        <w:rPr>
          <w:rFonts w:ascii="Calibri" w:eastAsia="Calibri" w:hAnsi="Calibri" w:cs="Calibri"/>
          <w:sz w:val="22"/>
          <w:lang w:val="fr-FR"/>
        </w:rPr>
        <w:t xml:space="preserve"> vk@bundeskartellamt.bund.de </w:t>
      </w:r>
    </w:p>
    <w:p w14:paraId="0BADF09F" w14:textId="77777777" w:rsidR="00D606E7" w:rsidRPr="00292F6E" w:rsidRDefault="00D606E7" w:rsidP="00D606E7">
      <w:pPr>
        <w:tabs>
          <w:tab w:val="left" w:pos="3686"/>
        </w:tabs>
        <w:spacing w:line="278" w:lineRule="auto"/>
        <w:ind w:left="709"/>
        <w:rPr>
          <w:rFonts w:ascii="Calibri" w:eastAsia="Calibri" w:hAnsi="Calibri" w:cs="Calibri"/>
          <w:sz w:val="22"/>
          <w:lang w:val="nl-NL"/>
        </w:rPr>
      </w:pPr>
      <w:r w:rsidRPr="00292F6E">
        <w:rPr>
          <w:rFonts w:ascii="Calibri" w:eastAsia="Calibri" w:hAnsi="Calibri" w:cs="Calibri"/>
          <w:sz w:val="22"/>
          <w:lang w:val="nl-NL"/>
        </w:rPr>
        <w:t xml:space="preserve">Website: </w:t>
      </w:r>
      <w:hyperlink r:id="rId9" w:history="1">
        <w:r w:rsidRPr="00292F6E">
          <w:rPr>
            <w:rStyle w:val="Hyperlink"/>
            <w:rFonts w:ascii="Calibri" w:eastAsia="Calibri" w:hAnsi="Calibri" w:cs="Calibri"/>
            <w:color w:val="0000FF"/>
            <w:sz w:val="22"/>
            <w:lang w:val="nl-NL"/>
          </w:rPr>
          <w:t>http://www.bundeskartellamt.de/SharedDocs/Kontaktdaten/DE/Vergabekammern.html</w:t>
        </w:r>
      </w:hyperlink>
    </w:p>
    <w:p w14:paraId="46EBB1DF" w14:textId="538D6B46"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 Bidder is requested to clearly identify those sections of the tender that contain a trade or business secret. If Bidder fails to do so, the Public Procurement Tribunal may, in the case of a review procedure, assume that Bidder has agreed to have these documents inspected (§165 para. 3 GWB). As Awarding Authority, FAIR is obliged to make the tender file available to the Public Procurement Tribunal immediately when initiating a review procedure (§ 163 para. 2 cl. 3 GWB).</w:t>
      </w:r>
    </w:p>
    <w:p w14:paraId="5B1380C4" w14:textId="6A3EF534"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Candidates/ Bidders have a right to expect the contracting authority's compliance with the Bidder-protecting provisions re: the tender procedure (§ 97 para. 6 GWB). If Candidate/ Bidder interested in the contract considers that Bidder's rights have been infringed through failure to comply with award regulations, the infringement must be reported to FAIR within ten calendar days (§ 160 para. 3 cl. 1 n</w:t>
      </w:r>
      <w:r w:rsidR="006A6A70">
        <w:rPr>
          <w:rFonts w:ascii="Calibri" w:eastAsia="Calibri" w:hAnsi="Calibri" w:cs="Calibri"/>
          <w:sz w:val="22"/>
          <w:lang w:val="en-GB"/>
        </w:rPr>
        <w:t>o</w:t>
      </w:r>
      <w:r w:rsidRPr="00466F01">
        <w:rPr>
          <w:rFonts w:ascii="Calibri" w:eastAsia="Calibri" w:hAnsi="Calibri" w:cs="Calibri"/>
          <w:sz w:val="22"/>
          <w:lang w:val="en-GB"/>
        </w:rPr>
        <w:t>. 1 GWB).</w:t>
      </w:r>
    </w:p>
    <w:p w14:paraId="163FC75B" w14:textId="0917E9CD"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Infringements identifiable on the basis of the announcement or the award documents must be asserted against FAIR within the deadline for submission of tenders specified in the announcement (§ 160 para. 3 cl. 1 nr. 2 - 3 GWB).</w:t>
      </w:r>
    </w:p>
    <w:p w14:paraId="27CFB3F8" w14:textId="37CAB50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lastRenderedPageBreak/>
        <w:t>If FAIR informs Candidate/ Bidder that FAIR is unwilling to redress its complaint, it is possible to file an appeal for review with the aforementioned Public Procurement Tribunal within 15 days of receipt of the notification (§ 160 para. 3 cl. 1 n</w:t>
      </w:r>
      <w:r w:rsidR="006A6A70">
        <w:rPr>
          <w:rFonts w:ascii="Calibri" w:eastAsia="Calibri" w:hAnsi="Calibri" w:cs="Calibri"/>
          <w:sz w:val="22"/>
          <w:lang w:val="en-GB"/>
        </w:rPr>
        <w:t>o</w:t>
      </w:r>
      <w:r w:rsidRPr="00466F01">
        <w:rPr>
          <w:rFonts w:ascii="Calibri" w:eastAsia="Calibri" w:hAnsi="Calibri" w:cs="Calibri"/>
          <w:sz w:val="22"/>
          <w:lang w:val="en-GB"/>
        </w:rPr>
        <w:t>. 4 GWB).</w:t>
      </w:r>
    </w:p>
    <w:p w14:paraId="6637F6A0" w14:textId="5AE39F8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Bidders whose tenders are not to be considered for the award will be informed prior to the award according to § 134 GWB. A contract may only be concluded 15 calendar days after this information has been sent by FAIR. In the case of transmission by fax or electronic means, this period shall be ten calendar days. It commences on the day after dispatch of the information by FAIR. After this period has expired, a surcharge is possible, even if the deadline is not passed according to § 160 para. 3 GWB. An application for review would therefore have to be delivered to FAIR by the Public Procurement Tribunal before the expiry of the deadline according to § 134 GWB in order to prevent a surcharge.</w:t>
      </w:r>
    </w:p>
    <w:p w14:paraId="0BFD478C" w14:textId="4D5DF1F1" w:rsidR="00977613"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 xml:space="preserve">According to § 135 para. 1 and 2 GWB, the ineffectiveness of a commission can only be established if it has been asserted in the review procedure within 30 calendar days of the conclusion of the contract but not later than six months after the conclusion of the contract. If the contracting entity has published the award in </w:t>
      </w:r>
      <w:proofErr w:type="spellStart"/>
      <w:r w:rsidRPr="00466F01">
        <w:rPr>
          <w:rFonts w:ascii="Calibri" w:eastAsia="Calibri" w:hAnsi="Calibri" w:cs="Calibri"/>
          <w:i/>
          <w:iCs/>
          <w:sz w:val="22"/>
          <w:lang w:val="en-GB"/>
        </w:rPr>
        <w:t>Amtsblatt</w:t>
      </w:r>
      <w:proofErr w:type="spellEnd"/>
      <w:r w:rsidRPr="00466F01">
        <w:rPr>
          <w:rFonts w:ascii="Calibri" w:eastAsia="Calibri" w:hAnsi="Calibri" w:cs="Calibri"/>
          <w:i/>
          <w:iCs/>
          <w:sz w:val="22"/>
          <w:lang w:val="en-GB"/>
        </w:rPr>
        <w:t xml:space="preserve"> der </w:t>
      </w:r>
      <w:proofErr w:type="spellStart"/>
      <w:r w:rsidRPr="00466F01">
        <w:rPr>
          <w:rFonts w:ascii="Calibri" w:eastAsia="Calibri" w:hAnsi="Calibri" w:cs="Calibri"/>
          <w:i/>
          <w:iCs/>
          <w:sz w:val="22"/>
          <w:lang w:val="en-GB"/>
        </w:rPr>
        <w:t>Europäischen</w:t>
      </w:r>
      <w:proofErr w:type="spellEnd"/>
      <w:r w:rsidRPr="00466F01">
        <w:rPr>
          <w:rFonts w:ascii="Calibri" w:eastAsia="Calibri" w:hAnsi="Calibri" w:cs="Calibri"/>
          <w:i/>
          <w:iCs/>
          <w:sz w:val="22"/>
          <w:lang w:val="en-GB"/>
        </w:rPr>
        <w:t xml:space="preserve"> Union</w:t>
      </w:r>
      <w:r w:rsidRPr="00466F01">
        <w:rPr>
          <w:rFonts w:ascii="Calibri" w:eastAsia="Calibri" w:hAnsi="Calibri" w:cs="Calibri"/>
          <w:sz w:val="22"/>
          <w:lang w:val="en-GB"/>
        </w:rPr>
        <w:t xml:space="preserve"> [transl.: Official Journal of the European Union], the period unenforceability shall end 30 calendar days after announcement of the publication of the award in the </w:t>
      </w:r>
      <w:proofErr w:type="spellStart"/>
      <w:r w:rsidRPr="00466F01">
        <w:rPr>
          <w:rFonts w:ascii="Calibri" w:eastAsia="Calibri" w:hAnsi="Calibri" w:cs="Calibri"/>
          <w:i/>
          <w:iCs/>
          <w:sz w:val="22"/>
          <w:lang w:val="en-GB"/>
        </w:rPr>
        <w:t>Amtsblatt</w:t>
      </w:r>
      <w:proofErr w:type="spellEnd"/>
      <w:r w:rsidRPr="00466F01">
        <w:rPr>
          <w:rFonts w:ascii="Calibri" w:eastAsia="Calibri" w:hAnsi="Calibri" w:cs="Calibri"/>
          <w:i/>
          <w:iCs/>
          <w:sz w:val="22"/>
          <w:lang w:val="en-GB"/>
        </w:rPr>
        <w:t xml:space="preserve"> der </w:t>
      </w:r>
      <w:proofErr w:type="spellStart"/>
      <w:r w:rsidRPr="00466F01">
        <w:rPr>
          <w:rFonts w:ascii="Calibri" w:eastAsia="Calibri" w:hAnsi="Calibri" w:cs="Calibri"/>
          <w:i/>
          <w:iCs/>
          <w:sz w:val="22"/>
          <w:lang w:val="en-GB"/>
        </w:rPr>
        <w:t>Europäischen</w:t>
      </w:r>
      <w:proofErr w:type="spellEnd"/>
      <w:r w:rsidRPr="00466F01">
        <w:rPr>
          <w:rFonts w:ascii="Calibri" w:eastAsia="Calibri" w:hAnsi="Calibri" w:cs="Calibri"/>
          <w:i/>
          <w:iCs/>
          <w:sz w:val="22"/>
          <w:lang w:val="en-GB"/>
        </w:rPr>
        <w:t xml:space="preserve"> Union</w:t>
      </w:r>
      <w:r w:rsidRPr="00466F01">
        <w:rPr>
          <w:rFonts w:ascii="Calibri" w:eastAsia="Calibri" w:hAnsi="Calibri" w:cs="Calibri"/>
          <w:sz w:val="22"/>
          <w:lang w:val="en-GB"/>
        </w:rPr>
        <w:t>.</w:t>
      </w:r>
    </w:p>
    <w:p w14:paraId="51C59A30" w14:textId="77777777" w:rsidR="00880C3A" w:rsidRPr="006A5F58" w:rsidRDefault="00880C3A" w:rsidP="00880C3A">
      <w:pPr>
        <w:pStyle w:val="NurText"/>
        <w:rPr>
          <w:lang w:val="en-US"/>
        </w:rPr>
      </w:pPr>
      <w:r w:rsidRPr="006A5F58">
        <w:rPr>
          <w:lang w:val="en-US"/>
        </w:rPr>
        <w:t>Information pursuant to Art. 13 GDPR on the processing of your personal data within the scope of our business relationship is available at:</w:t>
      </w:r>
    </w:p>
    <w:p w14:paraId="24B90D9D" w14:textId="77777777" w:rsidR="00880C3A" w:rsidRPr="006A5F58" w:rsidRDefault="008145DB" w:rsidP="00880C3A">
      <w:pPr>
        <w:pStyle w:val="NurText"/>
        <w:rPr>
          <w:lang w:val="en-US"/>
        </w:rPr>
      </w:pPr>
      <w:hyperlink r:id="rId10" w:history="1">
        <w:r w:rsidR="00880C3A" w:rsidRPr="006A5F58">
          <w:rPr>
            <w:rStyle w:val="Hyperlink"/>
            <w:lang w:val="en-US"/>
          </w:rPr>
          <w:t>www.gsi.de/data-protection</w:t>
        </w:r>
      </w:hyperlink>
    </w:p>
    <w:p w14:paraId="28178FA1" w14:textId="77777777" w:rsidR="00880C3A" w:rsidRPr="00466F01" w:rsidRDefault="00880C3A" w:rsidP="00977613">
      <w:pPr>
        <w:tabs>
          <w:tab w:val="left" w:pos="3686"/>
        </w:tabs>
        <w:spacing w:line="280" w:lineRule="auto"/>
        <w:rPr>
          <w:rFonts w:ascii="Calibri" w:eastAsia="Calibri" w:hAnsi="Calibri" w:cs="Calibri"/>
          <w:sz w:val="22"/>
          <w:lang w:val="en-GB"/>
        </w:rPr>
      </w:pPr>
    </w:p>
    <w:p w14:paraId="1865645F" w14:textId="77777777" w:rsidR="00D606E7" w:rsidRPr="00466F01" w:rsidRDefault="00D606E7" w:rsidP="00D606E7">
      <w:pPr>
        <w:tabs>
          <w:tab w:val="left" w:pos="3686"/>
        </w:tabs>
        <w:jc w:val="both"/>
        <w:rPr>
          <w:rFonts w:ascii="Calibri" w:hAnsi="Calibri" w:cs="Arial"/>
          <w:sz w:val="22"/>
          <w:lang w:val="en-GB"/>
        </w:rPr>
      </w:pPr>
      <w:r w:rsidRPr="00466F01">
        <w:rPr>
          <w:rFonts w:ascii="Calibri" w:hAnsi="Calibri" w:cs="Arial"/>
          <w:sz w:val="22"/>
          <w:lang w:val="en-GB"/>
        </w:rPr>
        <w:t>FAIR - Facility for Antiproton and Ion Research in Europe GmbH</w:t>
      </w:r>
    </w:p>
    <w:bookmarkEnd w:id="3"/>
    <w:sectPr w:rsidR="00D606E7" w:rsidRPr="00466F01" w:rsidSect="006D1744">
      <w:headerReference w:type="default" r:id="rId11"/>
      <w:footerReference w:type="default" r:id="rId12"/>
      <w:headerReference w:type="first" r:id="rId13"/>
      <w:footerReference w:type="first" r:id="rId14"/>
      <w:pgSz w:w="11906" w:h="16838" w:code="9"/>
      <w:pgMar w:top="567" w:right="3289"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364F" w14:textId="77777777" w:rsidR="00086564" w:rsidRDefault="00086564" w:rsidP="00026166">
      <w:pPr>
        <w:spacing w:after="0" w:line="240" w:lineRule="auto"/>
      </w:pPr>
      <w:r>
        <w:separator/>
      </w:r>
    </w:p>
  </w:endnote>
  <w:endnote w:type="continuationSeparator" w:id="0">
    <w:p w14:paraId="13096C39" w14:textId="77777777" w:rsidR="00086564" w:rsidRDefault="0008656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072579D8" w14:textId="77777777" w:rsidTr="001D1B13">
      <w:trPr>
        <w:trHeight w:val="1055"/>
      </w:trPr>
      <w:tc>
        <w:tcPr>
          <w:tcW w:w="2562" w:type="dxa"/>
        </w:tcPr>
        <w:p w14:paraId="1168B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795C34C0" w14:textId="0DB8D5EE"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5</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14</w:t>
          </w:r>
          <w:r w:rsidRPr="00D92F12">
            <w:rPr>
              <w:rFonts w:ascii="Calibri" w:eastAsia="Times New Roman" w:hAnsi="Calibri" w:cs="Times New Roman"/>
              <w:sz w:val="18"/>
              <w:szCs w:val="18"/>
              <w:lang w:eastAsia="de-DE"/>
            </w:rPr>
            <w:fldChar w:fldCharType="end"/>
          </w:r>
        </w:p>
      </w:tc>
      <w:tc>
        <w:tcPr>
          <w:tcW w:w="5036" w:type="dxa"/>
        </w:tcPr>
        <w:p w14:paraId="6160AB13"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548FE586" w14:textId="56482446" w:rsidR="006D1744" w:rsidRPr="00A9355B" w:rsidRDefault="006D1744" w:rsidP="006D1744">
          <w:pPr>
            <w:tabs>
              <w:tab w:val="center" w:pos="4536"/>
              <w:tab w:val="right" w:pos="9072"/>
            </w:tabs>
            <w:spacing w:after="0" w:line="240" w:lineRule="auto"/>
            <w:rPr>
              <w:rFonts w:ascii="Calibri" w:eastAsia="Times New Roman" w:hAnsi="Calibri" w:cs="Times New Roman"/>
              <w:sz w:val="18"/>
              <w:szCs w:val="18"/>
              <w:highlight w:val="yellow"/>
              <w:lang w:eastAsia="de-DE"/>
            </w:rPr>
          </w:pPr>
          <w:r w:rsidRPr="00D92F12">
            <w:rPr>
              <w:rFonts w:ascii="Calibri" w:eastAsia="Times New Roman" w:hAnsi="Calibri" w:cs="Times New Roman"/>
              <w:sz w:val="18"/>
              <w:szCs w:val="18"/>
              <w:lang w:eastAsia="de-DE"/>
            </w:rPr>
            <w:t>Vergabenummer</w:t>
          </w:r>
          <w:r w:rsidR="003F41E7">
            <w:rPr>
              <w:rFonts w:ascii="Calibri" w:eastAsia="Times New Roman" w:hAnsi="Calibri" w:cs="Times New Roman"/>
              <w:sz w:val="18"/>
              <w:szCs w:val="18"/>
              <w:lang w:eastAsia="de-DE"/>
            </w:rPr>
            <w:t xml:space="preserve"> </w:t>
          </w:r>
          <w:r w:rsidR="003F41E7" w:rsidRPr="003F41E7">
            <w:rPr>
              <w:rFonts w:ascii="Calibri" w:eastAsia="Times New Roman" w:hAnsi="Calibri" w:cs="Times New Roman"/>
              <w:sz w:val="18"/>
              <w:szCs w:val="18"/>
              <w:lang w:eastAsia="de-DE"/>
            </w:rPr>
            <w:t>38/260008999</w:t>
          </w:r>
        </w:p>
        <w:p w14:paraId="2F65158E"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53F8B430"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tc>
    </w:tr>
  </w:tbl>
  <w:p w14:paraId="43C0163B"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457143EF" w14:textId="77777777" w:rsidTr="00956967">
      <w:tc>
        <w:tcPr>
          <w:tcW w:w="2522" w:type="dxa"/>
        </w:tcPr>
        <w:p w14:paraId="3E06BD5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39A3C0C"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6EFE6DDA"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31C92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0D04E043"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0F1C22D7"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50CE7F94" wp14:editId="1D0133F9">
                <wp:extent cx="1162050" cy="578499"/>
                <wp:effectExtent l="0" t="0" r="0" b="0"/>
                <wp:docPr id="3"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547F9A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54FA" w14:textId="77777777" w:rsidR="00086564" w:rsidRDefault="00086564" w:rsidP="00026166">
      <w:pPr>
        <w:spacing w:after="0" w:line="240" w:lineRule="auto"/>
      </w:pPr>
      <w:r>
        <w:separator/>
      </w:r>
    </w:p>
  </w:footnote>
  <w:footnote w:type="continuationSeparator" w:id="0">
    <w:p w14:paraId="0021632E" w14:textId="77777777" w:rsidR="00086564" w:rsidRDefault="0008656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6BB2D175"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A6C3D" w:rsidRPr="00A771DA" w14:paraId="50424070" w14:textId="77777777" w:rsidTr="00503A5F">
            <w:trPr>
              <w:trHeight w:hRule="exact" w:val="2041"/>
            </w:trPr>
            <w:tc>
              <w:tcPr>
                <w:tcW w:w="7433" w:type="dxa"/>
              </w:tcPr>
              <w:p w14:paraId="1B06018F" w14:textId="77777777" w:rsidR="00FA6C3D" w:rsidRDefault="00FA6C3D" w:rsidP="00FA6C3D">
                <w:pPr>
                  <w:pStyle w:val="Kopfzeile"/>
                </w:pPr>
                <w:r>
                  <w:rPr>
                    <w:noProof/>
                    <w:lang w:eastAsia="de-DE"/>
                  </w:rPr>
                  <w:drawing>
                    <wp:inline distT="0" distB="0" distL="0" distR="0" wp14:anchorId="481A8E39" wp14:editId="3DCF0C01">
                      <wp:extent cx="776377" cy="586105"/>
                      <wp:effectExtent l="0" t="0" r="5080" b="4445"/>
                      <wp:docPr id="1"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525" cy="647365"/>
                              </a:xfrm>
                              <a:prstGeom prst="rect">
                                <a:avLst/>
                              </a:prstGeom>
                              <a:noFill/>
                              <a:ln>
                                <a:noFill/>
                              </a:ln>
                            </pic:spPr>
                          </pic:pic>
                        </a:graphicData>
                      </a:graphic>
                    </wp:inline>
                  </w:drawing>
                </w:r>
              </w:p>
            </w:tc>
            <w:tc>
              <w:tcPr>
                <w:tcW w:w="3107" w:type="dxa"/>
              </w:tcPr>
              <w:p w14:paraId="50769ABF" w14:textId="77777777" w:rsidR="00FA6C3D" w:rsidRDefault="00FA6C3D" w:rsidP="00FA6C3D">
                <w:pPr>
                  <w:pStyle w:val="Kopfzeile"/>
                  <w:spacing w:after="100" w:line="200" w:lineRule="atLeast"/>
                  <w:ind w:left="284"/>
                  <w:rPr>
                    <w:b/>
                    <w:bCs/>
                    <w:sz w:val="16"/>
                    <w:szCs w:val="16"/>
                    <w:lang w:val="en-US"/>
                  </w:rPr>
                </w:pPr>
              </w:p>
              <w:p w14:paraId="711B7C62" w14:textId="77777777" w:rsidR="00FA6C3D" w:rsidRPr="0074326A" w:rsidRDefault="00FA6C3D" w:rsidP="00FA6C3D">
                <w:pPr>
                  <w:pStyle w:val="Kopfzeile"/>
                  <w:spacing w:line="200" w:lineRule="atLeast"/>
                  <w:ind w:left="284"/>
                  <w:rPr>
                    <w:b/>
                    <w:sz w:val="16"/>
                    <w:szCs w:val="16"/>
                    <w:lang w:val="en-US"/>
                  </w:rPr>
                </w:pPr>
                <w:r w:rsidRPr="0074326A">
                  <w:rPr>
                    <w:b/>
                    <w:sz w:val="16"/>
                    <w:szCs w:val="16"/>
                    <w:lang w:val="en-US"/>
                  </w:rPr>
                  <w:t>FAIR - Facility for Antiproton and Ion Research in Europe GmbH</w:t>
                </w:r>
              </w:p>
              <w:p w14:paraId="467FA420" w14:textId="77777777" w:rsidR="00FA6C3D" w:rsidRPr="006622DE" w:rsidRDefault="00FA6C3D" w:rsidP="00FA6C3D">
                <w:pPr>
                  <w:pStyle w:val="Kopfzeile"/>
                  <w:spacing w:line="200" w:lineRule="atLeast"/>
                  <w:ind w:left="284"/>
                  <w:rPr>
                    <w:sz w:val="16"/>
                    <w:szCs w:val="16"/>
                  </w:rPr>
                </w:pPr>
                <w:r w:rsidRPr="006622DE">
                  <w:rPr>
                    <w:sz w:val="16"/>
                    <w:szCs w:val="16"/>
                  </w:rPr>
                  <w:t>Planckstraße 1</w:t>
                </w:r>
              </w:p>
              <w:p w14:paraId="29C84874" w14:textId="77777777" w:rsidR="00FA6C3D" w:rsidRPr="006622DE" w:rsidRDefault="00FA6C3D" w:rsidP="00FA6C3D">
                <w:pPr>
                  <w:pStyle w:val="Kopfzeile"/>
                  <w:spacing w:after="100" w:line="200" w:lineRule="atLeast"/>
                  <w:ind w:left="284"/>
                  <w:rPr>
                    <w:sz w:val="16"/>
                    <w:szCs w:val="16"/>
                  </w:rPr>
                </w:pPr>
                <w:r w:rsidRPr="006622DE">
                  <w:rPr>
                    <w:sz w:val="16"/>
                    <w:szCs w:val="16"/>
                  </w:rPr>
                  <w:t>64291 Darmstadt</w:t>
                </w:r>
              </w:p>
              <w:p w14:paraId="0390420B" w14:textId="77777777" w:rsidR="00FA6C3D" w:rsidRPr="006622DE" w:rsidRDefault="008145DB" w:rsidP="00FA6C3D">
                <w:pPr>
                  <w:pStyle w:val="Kopfzeile"/>
                  <w:spacing w:line="200" w:lineRule="atLeast"/>
                  <w:ind w:left="284"/>
                </w:pPr>
                <w:hyperlink r:id="rId2" w:tgtFrame="_blank" w:tooltip="Opens internal link in current window" w:history="1">
                  <w:r w:rsidR="00FA6C3D" w:rsidRPr="006622DE">
                    <w:rPr>
                      <w:rStyle w:val="Hyperlink"/>
                      <w:color w:val="auto"/>
                      <w:sz w:val="16"/>
                      <w:szCs w:val="16"/>
                    </w:rPr>
                    <w:t>www.fair-center.eu</w:t>
                  </w:r>
                </w:hyperlink>
              </w:p>
            </w:tc>
          </w:tr>
        </w:tbl>
        <w:p w14:paraId="18AEFB7B" w14:textId="77777777" w:rsidR="006D1744" w:rsidRDefault="006D1744" w:rsidP="006D1744">
          <w:pPr>
            <w:pStyle w:val="Kopfzeile"/>
          </w:pPr>
        </w:p>
      </w:tc>
      <w:tc>
        <w:tcPr>
          <w:tcW w:w="3075" w:type="dxa"/>
        </w:tcPr>
        <w:p w14:paraId="0BF25BA7" w14:textId="77777777" w:rsidR="006D1744" w:rsidRDefault="006D1744" w:rsidP="006D1744">
          <w:pPr>
            <w:pStyle w:val="Kopfzeile"/>
            <w:spacing w:line="200" w:lineRule="atLeast"/>
          </w:pPr>
        </w:p>
      </w:tc>
    </w:tr>
  </w:tbl>
  <w:p w14:paraId="461A73C2"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3546E9AD" w14:textId="77777777" w:rsidTr="006D1744">
      <w:trPr>
        <w:trHeight w:hRule="exact" w:val="2012"/>
      </w:trPr>
      <w:tc>
        <w:tcPr>
          <w:tcW w:w="7473" w:type="dxa"/>
        </w:tcPr>
        <w:p w14:paraId="15650C94" w14:textId="77777777" w:rsidR="006D1744" w:rsidRDefault="006D1744" w:rsidP="006D1744">
          <w:pPr>
            <w:pStyle w:val="Kopfzeile"/>
          </w:pPr>
          <w:r>
            <w:rPr>
              <w:noProof/>
              <w:lang w:eastAsia="de-DE"/>
            </w:rPr>
            <w:drawing>
              <wp:inline distT="0" distB="0" distL="0" distR="0" wp14:anchorId="4B0C6066" wp14:editId="34DB0152">
                <wp:extent cx="1441450" cy="457200"/>
                <wp:effectExtent l="0" t="0" r="635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60A057B0" w14:textId="77777777" w:rsidR="006D1744" w:rsidRDefault="00FA6C3D" w:rsidP="006D1744">
          <w:pPr>
            <w:pStyle w:val="Kopfzeile"/>
            <w:spacing w:line="200" w:lineRule="atLeast"/>
            <w:rPr>
              <w:b/>
              <w:sz w:val="16"/>
              <w:szCs w:val="16"/>
            </w:rPr>
          </w:pPr>
          <w:r>
            <w:rPr>
              <w:b/>
              <w:sz w:val="16"/>
              <w:szCs w:val="16"/>
            </w:rPr>
            <w:t>FAIR</w:t>
          </w:r>
          <w:r w:rsidR="006D1744">
            <w:rPr>
              <w:b/>
              <w:sz w:val="16"/>
              <w:szCs w:val="16"/>
            </w:rPr>
            <w:t xml:space="preserve"> Helmholtzzentrum für</w:t>
          </w:r>
        </w:p>
        <w:p w14:paraId="0250F78C" w14:textId="77777777" w:rsidR="006D1744" w:rsidRDefault="006D1744" w:rsidP="006D1744">
          <w:pPr>
            <w:pStyle w:val="Kopfzeile"/>
            <w:spacing w:line="200" w:lineRule="atLeast"/>
            <w:rPr>
              <w:b/>
              <w:sz w:val="16"/>
              <w:szCs w:val="16"/>
            </w:rPr>
          </w:pPr>
          <w:r>
            <w:rPr>
              <w:b/>
              <w:sz w:val="16"/>
              <w:szCs w:val="16"/>
            </w:rPr>
            <w:t>Schwerionenforschung GmbH</w:t>
          </w:r>
        </w:p>
        <w:p w14:paraId="77356BF4" w14:textId="77777777" w:rsidR="006D1744" w:rsidRDefault="006D1744" w:rsidP="006D1744">
          <w:pPr>
            <w:pStyle w:val="Kopfzeile"/>
            <w:spacing w:line="200" w:lineRule="atLeast"/>
            <w:rPr>
              <w:sz w:val="16"/>
              <w:szCs w:val="16"/>
            </w:rPr>
          </w:pPr>
          <w:r>
            <w:rPr>
              <w:sz w:val="16"/>
              <w:szCs w:val="16"/>
            </w:rPr>
            <w:t>Planckstraße 1</w:t>
          </w:r>
        </w:p>
        <w:p w14:paraId="577B7564" w14:textId="77777777" w:rsidR="006D1744" w:rsidRDefault="006D1744" w:rsidP="006D1744">
          <w:pPr>
            <w:pStyle w:val="Kopfzeile"/>
            <w:spacing w:after="100" w:line="200" w:lineRule="atLeast"/>
            <w:rPr>
              <w:sz w:val="16"/>
              <w:szCs w:val="16"/>
            </w:rPr>
          </w:pPr>
          <w:r>
            <w:rPr>
              <w:sz w:val="16"/>
              <w:szCs w:val="16"/>
            </w:rPr>
            <w:t>64291 Darmstadt</w:t>
          </w:r>
        </w:p>
        <w:p w14:paraId="36535093" w14:textId="77777777" w:rsidR="006D1744" w:rsidRDefault="008145DB" w:rsidP="006D1744">
          <w:pPr>
            <w:pStyle w:val="Kopfzeile"/>
            <w:spacing w:line="200" w:lineRule="atLeast"/>
          </w:pPr>
          <w:hyperlink r:id="rId2" w:history="1">
            <w:r w:rsidR="006D1744" w:rsidRPr="00C92092">
              <w:rPr>
                <w:rStyle w:val="Hyperlink"/>
                <w:color w:val="auto"/>
                <w:sz w:val="16"/>
                <w:szCs w:val="16"/>
              </w:rPr>
              <w:t>www.</w:t>
            </w:r>
            <w:r w:rsidR="00FA6C3D">
              <w:rPr>
                <w:rStyle w:val="Hyperlink"/>
                <w:color w:val="auto"/>
                <w:sz w:val="16"/>
                <w:szCs w:val="16"/>
              </w:rPr>
              <w:t>FAIR</w:t>
            </w:r>
            <w:r w:rsidR="006D1744" w:rsidRPr="00C92092">
              <w:rPr>
                <w:rStyle w:val="Hyperlink"/>
                <w:color w:val="auto"/>
                <w:sz w:val="16"/>
                <w:szCs w:val="16"/>
              </w:rPr>
              <w:t>.de</w:t>
            </w:r>
          </w:hyperlink>
        </w:p>
      </w:tc>
    </w:tr>
  </w:tbl>
  <w:p w14:paraId="7C7F5641"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67600"/>
    <w:multiLevelType w:val="hybridMultilevel"/>
    <w:tmpl w:val="5EE87BE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982540"/>
    <w:multiLevelType w:val="hybridMultilevel"/>
    <w:tmpl w:val="621AEC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6F5F60"/>
    <w:multiLevelType w:val="multilevel"/>
    <w:tmpl w:val="7F22D4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AC75377"/>
    <w:multiLevelType w:val="multilevel"/>
    <w:tmpl w:val="81AC36C2"/>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A4666A"/>
    <w:multiLevelType w:val="multilevel"/>
    <w:tmpl w:val="9B5A73DE"/>
    <w:lvl w:ilvl="0">
      <w:start w:val="1"/>
      <w:numFmt w:val="bullet"/>
      <w:lvlText w:val=""/>
      <w:lvlJc w:val="left"/>
      <w:pPr>
        <w:ind w:left="0" w:firstLine="0"/>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34880422"/>
    <w:multiLevelType w:val="multilevel"/>
    <w:tmpl w:val="801A0D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6CB523E"/>
    <w:multiLevelType w:val="multilevel"/>
    <w:tmpl w:val="B8C0166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9" w15:restartNumberingAfterBreak="0">
    <w:nsid w:val="418C6B18"/>
    <w:multiLevelType w:val="multilevel"/>
    <w:tmpl w:val="A3825E5A"/>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1F45CDE"/>
    <w:multiLevelType w:val="multilevel"/>
    <w:tmpl w:val="D8387366"/>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1FF7148"/>
    <w:multiLevelType w:val="multilevel"/>
    <w:tmpl w:val="6B0ABA8E"/>
    <w:lvl w:ilvl="0">
      <w:numFmt w:val="bullet"/>
      <w:lvlText w:val="-"/>
      <w:lvlJc w:val="left"/>
      <w:pPr>
        <w:ind w:left="0" w:firstLine="0"/>
      </w:pPr>
      <w:rPr>
        <w:rFonts w:ascii="Arial" w:eastAsiaTheme="minorHAnsi" w:hAnsi="Arial" w:cs="Aria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4" w15:restartNumberingAfterBreak="0">
    <w:nsid w:val="59EB612A"/>
    <w:multiLevelType w:val="hybridMultilevel"/>
    <w:tmpl w:val="53BA5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BD363C"/>
    <w:multiLevelType w:val="hybridMultilevel"/>
    <w:tmpl w:val="BBE02B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2C1A64"/>
    <w:multiLevelType w:val="hybridMultilevel"/>
    <w:tmpl w:val="498AB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3"/>
  </w:num>
  <w:num w:numId="4">
    <w:abstractNumId w:val="11"/>
  </w:num>
  <w:num w:numId="5">
    <w:abstractNumId w:val="6"/>
  </w:num>
  <w:num w:numId="6">
    <w:abstractNumId w:val="9"/>
  </w:num>
  <w:num w:numId="7">
    <w:abstractNumId w:val="2"/>
  </w:num>
  <w:num w:numId="8">
    <w:abstractNumId w:val="4"/>
  </w:num>
  <w:num w:numId="9">
    <w:abstractNumId w:val="14"/>
  </w:num>
  <w:num w:numId="10">
    <w:abstractNumId w:val="10"/>
  </w:num>
  <w:num w:numId="11">
    <w:abstractNumId w:val="3"/>
  </w:num>
  <w:num w:numId="12">
    <w:abstractNumId w:val="12"/>
  </w:num>
  <w:num w:numId="13">
    <w:abstractNumId w:val="0"/>
  </w:num>
  <w:num w:numId="14">
    <w:abstractNumId w:val="1"/>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efaultTabStop w:val="709"/>
  <w:autoHyphenation/>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A01"/>
    <w:rsid w:val="00006414"/>
    <w:rsid w:val="00006954"/>
    <w:rsid w:val="0001088F"/>
    <w:rsid w:val="0002146E"/>
    <w:rsid w:val="00026166"/>
    <w:rsid w:val="00056340"/>
    <w:rsid w:val="000602C6"/>
    <w:rsid w:val="000639FB"/>
    <w:rsid w:val="000824F4"/>
    <w:rsid w:val="00082B42"/>
    <w:rsid w:val="00086564"/>
    <w:rsid w:val="000C3259"/>
    <w:rsid w:val="000C6E5C"/>
    <w:rsid w:val="000D54B6"/>
    <w:rsid w:val="000E351C"/>
    <w:rsid w:val="000E3A52"/>
    <w:rsid w:val="000E6772"/>
    <w:rsid w:val="000F7F0D"/>
    <w:rsid w:val="001102D6"/>
    <w:rsid w:val="00111871"/>
    <w:rsid w:val="001212A8"/>
    <w:rsid w:val="00123706"/>
    <w:rsid w:val="001366BE"/>
    <w:rsid w:val="00142ADC"/>
    <w:rsid w:val="00144BFA"/>
    <w:rsid w:val="001476BE"/>
    <w:rsid w:val="00166830"/>
    <w:rsid w:val="0017098C"/>
    <w:rsid w:val="001772F9"/>
    <w:rsid w:val="00180007"/>
    <w:rsid w:val="00192C61"/>
    <w:rsid w:val="00195932"/>
    <w:rsid w:val="001A40F1"/>
    <w:rsid w:val="001B13F3"/>
    <w:rsid w:val="001C3382"/>
    <w:rsid w:val="001D1B13"/>
    <w:rsid w:val="001D42BF"/>
    <w:rsid w:val="001D5FEC"/>
    <w:rsid w:val="002001E5"/>
    <w:rsid w:val="00200589"/>
    <w:rsid w:val="00201F49"/>
    <w:rsid w:val="00207053"/>
    <w:rsid w:val="00211E23"/>
    <w:rsid w:val="002174FE"/>
    <w:rsid w:val="00225E05"/>
    <w:rsid w:val="00235E88"/>
    <w:rsid w:val="00237E82"/>
    <w:rsid w:val="00250F83"/>
    <w:rsid w:val="00251585"/>
    <w:rsid w:val="002720FE"/>
    <w:rsid w:val="00277BC9"/>
    <w:rsid w:val="00281052"/>
    <w:rsid w:val="00281B7D"/>
    <w:rsid w:val="00291169"/>
    <w:rsid w:val="00292F6E"/>
    <w:rsid w:val="002946E2"/>
    <w:rsid w:val="002A079C"/>
    <w:rsid w:val="002A33EC"/>
    <w:rsid w:val="002B377B"/>
    <w:rsid w:val="002C48E7"/>
    <w:rsid w:val="002D15C1"/>
    <w:rsid w:val="002D3444"/>
    <w:rsid w:val="002E0BA6"/>
    <w:rsid w:val="002E33FC"/>
    <w:rsid w:val="002E3546"/>
    <w:rsid w:val="002E46A6"/>
    <w:rsid w:val="002F5EC6"/>
    <w:rsid w:val="00302CEA"/>
    <w:rsid w:val="0031027E"/>
    <w:rsid w:val="0031562E"/>
    <w:rsid w:val="00322095"/>
    <w:rsid w:val="00331AEC"/>
    <w:rsid w:val="00334ACD"/>
    <w:rsid w:val="003373C1"/>
    <w:rsid w:val="00343E95"/>
    <w:rsid w:val="00351D3D"/>
    <w:rsid w:val="00380243"/>
    <w:rsid w:val="0039524C"/>
    <w:rsid w:val="003A242B"/>
    <w:rsid w:val="003A519B"/>
    <w:rsid w:val="003B2774"/>
    <w:rsid w:val="003C2EBD"/>
    <w:rsid w:val="003C4263"/>
    <w:rsid w:val="003D6C5E"/>
    <w:rsid w:val="003E1F3A"/>
    <w:rsid w:val="003E5807"/>
    <w:rsid w:val="003F41E7"/>
    <w:rsid w:val="003F5AE9"/>
    <w:rsid w:val="004104F0"/>
    <w:rsid w:val="00422C5E"/>
    <w:rsid w:val="00425140"/>
    <w:rsid w:val="00425CC1"/>
    <w:rsid w:val="00425DCA"/>
    <w:rsid w:val="004312A3"/>
    <w:rsid w:val="0043317D"/>
    <w:rsid w:val="00435BA3"/>
    <w:rsid w:val="00437CC0"/>
    <w:rsid w:val="004407D5"/>
    <w:rsid w:val="00446FAB"/>
    <w:rsid w:val="0044776B"/>
    <w:rsid w:val="004502B2"/>
    <w:rsid w:val="00463C55"/>
    <w:rsid w:val="00464261"/>
    <w:rsid w:val="00466F01"/>
    <w:rsid w:val="00486F51"/>
    <w:rsid w:val="004871D9"/>
    <w:rsid w:val="004925A4"/>
    <w:rsid w:val="004A300A"/>
    <w:rsid w:val="004D6C37"/>
    <w:rsid w:val="004E2FAA"/>
    <w:rsid w:val="004F27F7"/>
    <w:rsid w:val="0050204D"/>
    <w:rsid w:val="00521EA1"/>
    <w:rsid w:val="005309EB"/>
    <w:rsid w:val="00531B5A"/>
    <w:rsid w:val="005403D1"/>
    <w:rsid w:val="005449F6"/>
    <w:rsid w:val="005501B0"/>
    <w:rsid w:val="00550314"/>
    <w:rsid w:val="00551407"/>
    <w:rsid w:val="0055163B"/>
    <w:rsid w:val="005559FD"/>
    <w:rsid w:val="005574E0"/>
    <w:rsid w:val="00561CAB"/>
    <w:rsid w:val="00575989"/>
    <w:rsid w:val="00585BF5"/>
    <w:rsid w:val="00585CBB"/>
    <w:rsid w:val="005867D9"/>
    <w:rsid w:val="00593F04"/>
    <w:rsid w:val="005C5EA9"/>
    <w:rsid w:val="005D2C7E"/>
    <w:rsid w:val="005E5E05"/>
    <w:rsid w:val="005E7201"/>
    <w:rsid w:val="00604EBF"/>
    <w:rsid w:val="006069D9"/>
    <w:rsid w:val="006130CD"/>
    <w:rsid w:val="006147AF"/>
    <w:rsid w:val="006356DB"/>
    <w:rsid w:val="00654DEC"/>
    <w:rsid w:val="006566E5"/>
    <w:rsid w:val="00662B90"/>
    <w:rsid w:val="006647F3"/>
    <w:rsid w:val="00666BD6"/>
    <w:rsid w:val="006705A7"/>
    <w:rsid w:val="00671603"/>
    <w:rsid w:val="006744F4"/>
    <w:rsid w:val="00674C5D"/>
    <w:rsid w:val="00684CFF"/>
    <w:rsid w:val="006875A4"/>
    <w:rsid w:val="00693B9D"/>
    <w:rsid w:val="006A5F58"/>
    <w:rsid w:val="006A6A70"/>
    <w:rsid w:val="006D1744"/>
    <w:rsid w:val="006D369D"/>
    <w:rsid w:val="006D54D5"/>
    <w:rsid w:val="006D7AAE"/>
    <w:rsid w:val="006E018E"/>
    <w:rsid w:val="006E4437"/>
    <w:rsid w:val="006E5220"/>
    <w:rsid w:val="00703762"/>
    <w:rsid w:val="00714D98"/>
    <w:rsid w:val="007231C1"/>
    <w:rsid w:val="007532F1"/>
    <w:rsid w:val="00772BB4"/>
    <w:rsid w:val="0077315C"/>
    <w:rsid w:val="007753E8"/>
    <w:rsid w:val="00786B3B"/>
    <w:rsid w:val="00787289"/>
    <w:rsid w:val="00791D7A"/>
    <w:rsid w:val="00797664"/>
    <w:rsid w:val="007A3DB0"/>
    <w:rsid w:val="007B5F2D"/>
    <w:rsid w:val="007D3451"/>
    <w:rsid w:val="007D6ED1"/>
    <w:rsid w:val="0080105F"/>
    <w:rsid w:val="00801284"/>
    <w:rsid w:val="00803044"/>
    <w:rsid w:val="0080392E"/>
    <w:rsid w:val="00807EE9"/>
    <w:rsid w:val="008145DB"/>
    <w:rsid w:val="008226DD"/>
    <w:rsid w:val="00845719"/>
    <w:rsid w:val="008522CB"/>
    <w:rsid w:val="0085605D"/>
    <w:rsid w:val="00870243"/>
    <w:rsid w:val="00876C29"/>
    <w:rsid w:val="00880C3A"/>
    <w:rsid w:val="008A072F"/>
    <w:rsid w:val="008A25B9"/>
    <w:rsid w:val="008A2EE7"/>
    <w:rsid w:val="008B2F62"/>
    <w:rsid w:val="008B590D"/>
    <w:rsid w:val="008C3A20"/>
    <w:rsid w:val="008E5F37"/>
    <w:rsid w:val="008E60E8"/>
    <w:rsid w:val="008F3E55"/>
    <w:rsid w:val="0090324A"/>
    <w:rsid w:val="00903BA1"/>
    <w:rsid w:val="00904D51"/>
    <w:rsid w:val="009057D0"/>
    <w:rsid w:val="009106EE"/>
    <w:rsid w:val="0093143A"/>
    <w:rsid w:val="0093208A"/>
    <w:rsid w:val="00937BE9"/>
    <w:rsid w:val="00950674"/>
    <w:rsid w:val="009527DC"/>
    <w:rsid w:val="0096010F"/>
    <w:rsid w:val="00960F4F"/>
    <w:rsid w:val="00962975"/>
    <w:rsid w:val="00963B60"/>
    <w:rsid w:val="00970C7F"/>
    <w:rsid w:val="00973E96"/>
    <w:rsid w:val="00973F19"/>
    <w:rsid w:val="00977613"/>
    <w:rsid w:val="00982531"/>
    <w:rsid w:val="00985401"/>
    <w:rsid w:val="00987A20"/>
    <w:rsid w:val="009A02E3"/>
    <w:rsid w:val="009A4198"/>
    <w:rsid w:val="009A74DC"/>
    <w:rsid w:val="009B2F72"/>
    <w:rsid w:val="009C5CDA"/>
    <w:rsid w:val="009D157E"/>
    <w:rsid w:val="009D6D94"/>
    <w:rsid w:val="009E4B29"/>
    <w:rsid w:val="009F6976"/>
    <w:rsid w:val="00A007B2"/>
    <w:rsid w:val="00A1246E"/>
    <w:rsid w:val="00A13AE5"/>
    <w:rsid w:val="00A27F45"/>
    <w:rsid w:val="00A42A0E"/>
    <w:rsid w:val="00A52A01"/>
    <w:rsid w:val="00A53F17"/>
    <w:rsid w:val="00A6337B"/>
    <w:rsid w:val="00A638D6"/>
    <w:rsid w:val="00A73CBD"/>
    <w:rsid w:val="00A73DD2"/>
    <w:rsid w:val="00A81D2E"/>
    <w:rsid w:val="00A8400D"/>
    <w:rsid w:val="00A8510D"/>
    <w:rsid w:val="00A872E6"/>
    <w:rsid w:val="00A91EE2"/>
    <w:rsid w:val="00A9355B"/>
    <w:rsid w:val="00AB0710"/>
    <w:rsid w:val="00AB0BC5"/>
    <w:rsid w:val="00AB4082"/>
    <w:rsid w:val="00AB45A8"/>
    <w:rsid w:val="00AC18AA"/>
    <w:rsid w:val="00AE152F"/>
    <w:rsid w:val="00B00EB2"/>
    <w:rsid w:val="00B26492"/>
    <w:rsid w:val="00B26547"/>
    <w:rsid w:val="00B30C71"/>
    <w:rsid w:val="00B3116F"/>
    <w:rsid w:val="00B36D37"/>
    <w:rsid w:val="00B4166E"/>
    <w:rsid w:val="00B47D5D"/>
    <w:rsid w:val="00B5413F"/>
    <w:rsid w:val="00B56F15"/>
    <w:rsid w:val="00B57E9F"/>
    <w:rsid w:val="00B652AB"/>
    <w:rsid w:val="00B908CC"/>
    <w:rsid w:val="00B93011"/>
    <w:rsid w:val="00B93EB2"/>
    <w:rsid w:val="00BA76AB"/>
    <w:rsid w:val="00BB6D05"/>
    <w:rsid w:val="00BC721B"/>
    <w:rsid w:val="00BE7490"/>
    <w:rsid w:val="00BF1BA3"/>
    <w:rsid w:val="00BF2385"/>
    <w:rsid w:val="00C14E03"/>
    <w:rsid w:val="00C21592"/>
    <w:rsid w:val="00C22631"/>
    <w:rsid w:val="00C23FA9"/>
    <w:rsid w:val="00C26A0C"/>
    <w:rsid w:val="00C4014F"/>
    <w:rsid w:val="00C46933"/>
    <w:rsid w:val="00C47B75"/>
    <w:rsid w:val="00C5088C"/>
    <w:rsid w:val="00C56967"/>
    <w:rsid w:val="00C577C5"/>
    <w:rsid w:val="00C627BD"/>
    <w:rsid w:val="00C654BB"/>
    <w:rsid w:val="00C80798"/>
    <w:rsid w:val="00C84DB5"/>
    <w:rsid w:val="00C948D9"/>
    <w:rsid w:val="00C95900"/>
    <w:rsid w:val="00CB0499"/>
    <w:rsid w:val="00CB296D"/>
    <w:rsid w:val="00CB36E0"/>
    <w:rsid w:val="00CC01FA"/>
    <w:rsid w:val="00CD6BCB"/>
    <w:rsid w:val="00CE0BA7"/>
    <w:rsid w:val="00CE4FDB"/>
    <w:rsid w:val="00CE7917"/>
    <w:rsid w:val="00CF46A7"/>
    <w:rsid w:val="00D001A3"/>
    <w:rsid w:val="00D00450"/>
    <w:rsid w:val="00D0599D"/>
    <w:rsid w:val="00D25CF2"/>
    <w:rsid w:val="00D3116F"/>
    <w:rsid w:val="00D32F98"/>
    <w:rsid w:val="00D4681A"/>
    <w:rsid w:val="00D606E7"/>
    <w:rsid w:val="00D64971"/>
    <w:rsid w:val="00D7375D"/>
    <w:rsid w:val="00D7463C"/>
    <w:rsid w:val="00D92589"/>
    <w:rsid w:val="00DA1401"/>
    <w:rsid w:val="00DA1C31"/>
    <w:rsid w:val="00DA4C94"/>
    <w:rsid w:val="00DA6B47"/>
    <w:rsid w:val="00DC12E3"/>
    <w:rsid w:val="00DC49E9"/>
    <w:rsid w:val="00DD1890"/>
    <w:rsid w:val="00DD57E2"/>
    <w:rsid w:val="00DD72D7"/>
    <w:rsid w:val="00DF0C0B"/>
    <w:rsid w:val="00DF209D"/>
    <w:rsid w:val="00E003D6"/>
    <w:rsid w:val="00E0133A"/>
    <w:rsid w:val="00E045EB"/>
    <w:rsid w:val="00E21500"/>
    <w:rsid w:val="00E246FE"/>
    <w:rsid w:val="00E430DD"/>
    <w:rsid w:val="00E44130"/>
    <w:rsid w:val="00E6351B"/>
    <w:rsid w:val="00E66E11"/>
    <w:rsid w:val="00E76390"/>
    <w:rsid w:val="00E77391"/>
    <w:rsid w:val="00E8505E"/>
    <w:rsid w:val="00E93D64"/>
    <w:rsid w:val="00EA1FEB"/>
    <w:rsid w:val="00EA468F"/>
    <w:rsid w:val="00EA4A02"/>
    <w:rsid w:val="00EB56B9"/>
    <w:rsid w:val="00EC6A02"/>
    <w:rsid w:val="00ED491C"/>
    <w:rsid w:val="00EE38F3"/>
    <w:rsid w:val="00EF5CF2"/>
    <w:rsid w:val="00F056D6"/>
    <w:rsid w:val="00F170DD"/>
    <w:rsid w:val="00F20289"/>
    <w:rsid w:val="00F237E5"/>
    <w:rsid w:val="00F23E24"/>
    <w:rsid w:val="00F27F07"/>
    <w:rsid w:val="00F31972"/>
    <w:rsid w:val="00F545F2"/>
    <w:rsid w:val="00F570D3"/>
    <w:rsid w:val="00F62479"/>
    <w:rsid w:val="00F65DB3"/>
    <w:rsid w:val="00F7647D"/>
    <w:rsid w:val="00F90714"/>
    <w:rsid w:val="00FA011E"/>
    <w:rsid w:val="00FA44A8"/>
    <w:rsid w:val="00FA4C0C"/>
    <w:rsid w:val="00FA6C3D"/>
    <w:rsid w:val="00FA78F5"/>
    <w:rsid w:val="00FA7BB8"/>
    <w:rsid w:val="00FC265C"/>
    <w:rsid w:val="00FD023A"/>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3361243"/>
  <w15:docId w15:val="{7117A2E8-7F64-4762-A5C2-4241339A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9"/>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26A0C"/>
    <w:rPr>
      <w:rFonts w:asciiTheme="majorHAnsi" w:eastAsiaTheme="majorEastAsia" w:hAnsiTheme="majorHAnsi" w:cstheme="majorBidi"/>
      <w:b/>
      <w:bCs/>
      <w:color w:val="4F81BD" w:themeColor="accent1"/>
      <w:sz w:val="20"/>
    </w:rPr>
  </w:style>
  <w:style w:type="character" w:customStyle="1" w:styleId="berschrift4Zchn">
    <w:name w:val="Überschrift 4 Zchn"/>
    <w:basedOn w:val="Absatz-Standardschriftart"/>
    <w:link w:val="berschrift4"/>
    <w:uiPriority w:val="9"/>
    <w:rsid w:val="00C26A0C"/>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9"/>
    <w:rsid w:val="00C26A0C"/>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9"/>
    <w:rsid w:val="00C26A0C"/>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9"/>
    <w:rsid w:val="00C26A0C"/>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9"/>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3"/>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963B60"/>
    <w:rPr>
      <w:i/>
      <w:iCs/>
    </w:rPr>
  </w:style>
  <w:style w:type="paragraph" w:styleId="StandardWeb">
    <w:name w:val="Normal (Web)"/>
    <w:basedOn w:val="Standard"/>
    <w:uiPriority w:val="99"/>
    <w:unhideWhenUsed/>
    <w:rsid w:val="004D6C37"/>
    <w:pPr>
      <w:spacing w:before="100" w:beforeAutospacing="1" w:after="100" w:afterAutospacing="1" w:line="240" w:lineRule="auto"/>
    </w:pPr>
    <w:rPr>
      <w:rFonts w:ascii="Times New Roman" w:eastAsiaTheme="minorEastAsia" w:hAnsi="Times New Roman" w:cs="Times New Roman"/>
      <w:sz w:val="24"/>
      <w:szCs w:val="24"/>
      <w:lang w:eastAsia="de-DE"/>
    </w:rPr>
  </w:style>
  <w:style w:type="character" w:styleId="Fett">
    <w:name w:val="Strong"/>
    <w:basedOn w:val="Absatz-Standardschriftart"/>
    <w:uiPriority w:val="22"/>
    <w:qFormat/>
    <w:rsid w:val="004D6C37"/>
    <w:rPr>
      <w:rFonts w:ascii="Times New Roman" w:hAnsi="Times New Roman" w:cs="Times New Roman" w:hint="default"/>
      <w:b/>
      <w:bCs/>
    </w:rPr>
  </w:style>
  <w:style w:type="character" w:customStyle="1" w:styleId="rynqvb">
    <w:name w:val="rynqvb"/>
    <w:basedOn w:val="Absatz-Standardschriftart"/>
    <w:rsid w:val="004D6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13795732">
      <w:bodyDiv w:val="1"/>
      <w:marLeft w:val="0"/>
      <w:marRight w:val="0"/>
      <w:marTop w:val="0"/>
      <w:marBottom w:val="0"/>
      <w:divBdr>
        <w:top w:val="none" w:sz="0" w:space="0" w:color="auto"/>
        <w:left w:val="none" w:sz="0" w:space="0" w:color="auto"/>
        <w:bottom w:val="none" w:sz="0" w:space="0" w:color="auto"/>
        <w:right w:val="none" w:sz="0" w:space="0" w:color="auto"/>
      </w:divBdr>
    </w:div>
    <w:div w:id="124131192">
      <w:bodyDiv w:val="1"/>
      <w:marLeft w:val="0"/>
      <w:marRight w:val="0"/>
      <w:marTop w:val="0"/>
      <w:marBottom w:val="0"/>
      <w:divBdr>
        <w:top w:val="none" w:sz="0" w:space="0" w:color="auto"/>
        <w:left w:val="none" w:sz="0" w:space="0" w:color="auto"/>
        <w:bottom w:val="none" w:sz="0" w:space="0" w:color="auto"/>
        <w:right w:val="none" w:sz="0" w:space="0" w:color="auto"/>
      </w:divBdr>
    </w:div>
    <w:div w:id="230311926">
      <w:bodyDiv w:val="1"/>
      <w:marLeft w:val="0"/>
      <w:marRight w:val="0"/>
      <w:marTop w:val="0"/>
      <w:marBottom w:val="0"/>
      <w:divBdr>
        <w:top w:val="none" w:sz="0" w:space="0" w:color="auto"/>
        <w:left w:val="none" w:sz="0" w:space="0" w:color="auto"/>
        <w:bottom w:val="none" w:sz="0" w:space="0" w:color="auto"/>
        <w:right w:val="none" w:sz="0" w:space="0" w:color="auto"/>
      </w:divBdr>
    </w:div>
    <w:div w:id="237598949">
      <w:bodyDiv w:val="1"/>
      <w:marLeft w:val="0"/>
      <w:marRight w:val="0"/>
      <w:marTop w:val="0"/>
      <w:marBottom w:val="0"/>
      <w:divBdr>
        <w:top w:val="none" w:sz="0" w:space="0" w:color="auto"/>
        <w:left w:val="none" w:sz="0" w:space="0" w:color="auto"/>
        <w:bottom w:val="none" w:sz="0" w:space="0" w:color="auto"/>
        <w:right w:val="none" w:sz="0" w:space="0" w:color="auto"/>
      </w:divBdr>
    </w:div>
    <w:div w:id="251280225">
      <w:bodyDiv w:val="1"/>
      <w:marLeft w:val="0"/>
      <w:marRight w:val="0"/>
      <w:marTop w:val="0"/>
      <w:marBottom w:val="0"/>
      <w:divBdr>
        <w:top w:val="none" w:sz="0" w:space="0" w:color="auto"/>
        <w:left w:val="none" w:sz="0" w:space="0" w:color="auto"/>
        <w:bottom w:val="none" w:sz="0" w:space="0" w:color="auto"/>
        <w:right w:val="none" w:sz="0" w:space="0" w:color="auto"/>
      </w:divBdr>
    </w:div>
    <w:div w:id="271784028">
      <w:bodyDiv w:val="1"/>
      <w:marLeft w:val="0"/>
      <w:marRight w:val="0"/>
      <w:marTop w:val="0"/>
      <w:marBottom w:val="0"/>
      <w:divBdr>
        <w:top w:val="none" w:sz="0" w:space="0" w:color="auto"/>
        <w:left w:val="none" w:sz="0" w:space="0" w:color="auto"/>
        <w:bottom w:val="none" w:sz="0" w:space="0" w:color="auto"/>
        <w:right w:val="none" w:sz="0" w:space="0" w:color="auto"/>
      </w:divBdr>
    </w:div>
    <w:div w:id="296032836">
      <w:bodyDiv w:val="1"/>
      <w:marLeft w:val="0"/>
      <w:marRight w:val="0"/>
      <w:marTop w:val="0"/>
      <w:marBottom w:val="0"/>
      <w:divBdr>
        <w:top w:val="none" w:sz="0" w:space="0" w:color="auto"/>
        <w:left w:val="none" w:sz="0" w:space="0" w:color="auto"/>
        <w:bottom w:val="none" w:sz="0" w:space="0" w:color="auto"/>
        <w:right w:val="none" w:sz="0" w:space="0" w:color="auto"/>
      </w:divBdr>
    </w:div>
    <w:div w:id="337732367">
      <w:bodyDiv w:val="1"/>
      <w:marLeft w:val="0"/>
      <w:marRight w:val="0"/>
      <w:marTop w:val="0"/>
      <w:marBottom w:val="0"/>
      <w:divBdr>
        <w:top w:val="none" w:sz="0" w:space="0" w:color="auto"/>
        <w:left w:val="none" w:sz="0" w:space="0" w:color="auto"/>
        <w:bottom w:val="none" w:sz="0" w:space="0" w:color="auto"/>
        <w:right w:val="none" w:sz="0" w:space="0" w:color="auto"/>
      </w:divBdr>
    </w:div>
    <w:div w:id="346560441">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70610899">
      <w:bodyDiv w:val="1"/>
      <w:marLeft w:val="0"/>
      <w:marRight w:val="0"/>
      <w:marTop w:val="0"/>
      <w:marBottom w:val="0"/>
      <w:divBdr>
        <w:top w:val="none" w:sz="0" w:space="0" w:color="auto"/>
        <w:left w:val="none" w:sz="0" w:space="0" w:color="auto"/>
        <w:bottom w:val="none" w:sz="0" w:space="0" w:color="auto"/>
        <w:right w:val="none" w:sz="0" w:space="0" w:color="auto"/>
      </w:divBdr>
    </w:div>
    <w:div w:id="409816902">
      <w:bodyDiv w:val="1"/>
      <w:marLeft w:val="0"/>
      <w:marRight w:val="0"/>
      <w:marTop w:val="0"/>
      <w:marBottom w:val="0"/>
      <w:divBdr>
        <w:top w:val="none" w:sz="0" w:space="0" w:color="auto"/>
        <w:left w:val="none" w:sz="0" w:space="0" w:color="auto"/>
        <w:bottom w:val="none" w:sz="0" w:space="0" w:color="auto"/>
        <w:right w:val="none" w:sz="0" w:space="0" w:color="auto"/>
      </w:divBdr>
    </w:div>
    <w:div w:id="442847838">
      <w:bodyDiv w:val="1"/>
      <w:marLeft w:val="0"/>
      <w:marRight w:val="0"/>
      <w:marTop w:val="0"/>
      <w:marBottom w:val="0"/>
      <w:divBdr>
        <w:top w:val="none" w:sz="0" w:space="0" w:color="auto"/>
        <w:left w:val="none" w:sz="0" w:space="0" w:color="auto"/>
        <w:bottom w:val="none" w:sz="0" w:space="0" w:color="auto"/>
        <w:right w:val="none" w:sz="0" w:space="0" w:color="auto"/>
      </w:divBdr>
    </w:div>
    <w:div w:id="44481571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7982171">
      <w:bodyDiv w:val="1"/>
      <w:marLeft w:val="0"/>
      <w:marRight w:val="0"/>
      <w:marTop w:val="0"/>
      <w:marBottom w:val="0"/>
      <w:divBdr>
        <w:top w:val="none" w:sz="0" w:space="0" w:color="auto"/>
        <w:left w:val="none" w:sz="0" w:space="0" w:color="auto"/>
        <w:bottom w:val="none" w:sz="0" w:space="0" w:color="auto"/>
        <w:right w:val="none" w:sz="0" w:space="0" w:color="auto"/>
      </w:divBdr>
    </w:div>
    <w:div w:id="520554736">
      <w:bodyDiv w:val="1"/>
      <w:marLeft w:val="0"/>
      <w:marRight w:val="0"/>
      <w:marTop w:val="0"/>
      <w:marBottom w:val="0"/>
      <w:divBdr>
        <w:top w:val="none" w:sz="0" w:space="0" w:color="auto"/>
        <w:left w:val="none" w:sz="0" w:space="0" w:color="auto"/>
        <w:bottom w:val="none" w:sz="0" w:space="0" w:color="auto"/>
        <w:right w:val="none" w:sz="0" w:space="0" w:color="auto"/>
      </w:divBdr>
    </w:div>
    <w:div w:id="526598742">
      <w:bodyDiv w:val="1"/>
      <w:marLeft w:val="0"/>
      <w:marRight w:val="0"/>
      <w:marTop w:val="0"/>
      <w:marBottom w:val="0"/>
      <w:divBdr>
        <w:top w:val="none" w:sz="0" w:space="0" w:color="auto"/>
        <w:left w:val="none" w:sz="0" w:space="0" w:color="auto"/>
        <w:bottom w:val="none" w:sz="0" w:space="0" w:color="auto"/>
        <w:right w:val="none" w:sz="0" w:space="0" w:color="auto"/>
      </w:divBdr>
    </w:div>
    <w:div w:id="533688500">
      <w:bodyDiv w:val="1"/>
      <w:marLeft w:val="0"/>
      <w:marRight w:val="0"/>
      <w:marTop w:val="0"/>
      <w:marBottom w:val="0"/>
      <w:divBdr>
        <w:top w:val="none" w:sz="0" w:space="0" w:color="auto"/>
        <w:left w:val="none" w:sz="0" w:space="0" w:color="auto"/>
        <w:bottom w:val="none" w:sz="0" w:space="0" w:color="auto"/>
        <w:right w:val="none" w:sz="0" w:space="0" w:color="auto"/>
      </w:divBdr>
    </w:div>
    <w:div w:id="543056224">
      <w:bodyDiv w:val="1"/>
      <w:marLeft w:val="0"/>
      <w:marRight w:val="0"/>
      <w:marTop w:val="0"/>
      <w:marBottom w:val="0"/>
      <w:divBdr>
        <w:top w:val="none" w:sz="0" w:space="0" w:color="auto"/>
        <w:left w:val="none" w:sz="0" w:space="0" w:color="auto"/>
        <w:bottom w:val="none" w:sz="0" w:space="0" w:color="auto"/>
        <w:right w:val="none" w:sz="0" w:space="0" w:color="auto"/>
      </w:divBdr>
    </w:div>
    <w:div w:id="689138528">
      <w:bodyDiv w:val="1"/>
      <w:marLeft w:val="0"/>
      <w:marRight w:val="0"/>
      <w:marTop w:val="0"/>
      <w:marBottom w:val="0"/>
      <w:divBdr>
        <w:top w:val="none" w:sz="0" w:space="0" w:color="auto"/>
        <w:left w:val="none" w:sz="0" w:space="0" w:color="auto"/>
        <w:bottom w:val="none" w:sz="0" w:space="0" w:color="auto"/>
        <w:right w:val="none" w:sz="0" w:space="0" w:color="auto"/>
      </w:divBdr>
    </w:div>
    <w:div w:id="830026802">
      <w:bodyDiv w:val="1"/>
      <w:marLeft w:val="0"/>
      <w:marRight w:val="0"/>
      <w:marTop w:val="0"/>
      <w:marBottom w:val="0"/>
      <w:divBdr>
        <w:top w:val="none" w:sz="0" w:space="0" w:color="auto"/>
        <w:left w:val="none" w:sz="0" w:space="0" w:color="auto"/>
        <w:bottom w:val="none" w:sz="0" w:space="0" w:color="auto"/>
        <w:right w:val="none" w:sz="0" w:space="0" w:color="auto"/>
      </w:divBdr>
    </w:div>
    <w:div w:id="851720854">
      <w:bodyDiv w:val="1"/>
      <w:marLeft w:val="0"/>
      <w:marRight w:val="0"/>
      <w:marTop w:val="0"/>
      <w:marBottom w:val="0"/>
      <w:divBdr>
        <w:top w:val="none" w:sz="0" w:space="0" w:color="auto"/>
        <w:left w:val="none" w:sz="0" w:space="0" w:color="auto"/>
        <w:bottom w:val="none" w:sz="0" w:space="0" w:color="auto"/>
        <w:right w:val="none" w:sz="0" w:space="0" w:color="auto"/>
      </w:divBdr>
    </w:div>
    <w:div w:id="864099933">
      <w:bodyDiv w:val="1"/>
      <w:marLeft w:val="0"/>
      <w:marRight w:val="0"/>
      <w:marTop w:val="0"/>
      <w:marBottom w:val="0"/>
      <w:divBdr>
        <w:top w:val="none" w:sz="0" w:space="0" w:color="auto"/>
        <w:left w:val="none" w:sz="0" w:space="0" w:color="auto"/>
        <w:bottom w:val="none" w:sz="0" w:space="0" w:color="auto"/>
        <w:right w:val="none" w:sz="0" w:space="0" w:color="auto"/>
      </w:divBdr>
    </w:div>
    <w:div w:id="888298977">
      <w:bodyDiv w:val="1"/>
      <w:marLeft w:val="0"/>
      <w:marRight w:val="0"/>
      <w:marTop w:val="0"/>
      <w:marBottom w:val="0"/>
      <w:divBdr>
        <w:top w:val="none" w:sz="0" w:space="0" w:color="auto"/>
        <w:left w:val="none" w:sz="0" w:space="0" w:color="auto"/>
        <w:bottom w:val="none" w:sz="0" w:space="0" w:color="auto"/>
        <w:right w:val="none" w:sz="0" w:space="0" w:color="auto"/>
      </w:divBdr>
    </w:div>
    <w:div w:id="993142333">
      <w:bodyDiv w:val="1"/>
      <w:marLeft w:val="0"/>
      <w:marRight w:val="0"/>
      <w:marTop w:val="0"/>
      <w:marBottom w:val="0"/>
      <w:divBdr>
        <w:top w:val="none" w:sz="0" w:space="0" w:color="auto"/>
        <w:left w:val="none" w:sz="0" w:space="0" w:color="auto"/>
        <w:bottom w:val="none" w:sz="0" w:space="0" w:color="auto"/>
        <w:right w:val="none" w:sz="0" w:space="0" w:color="auto"/>
      </w:divBdr>
    </w:div>
    <w:div w:id="994800045">
      <w:bodyDiv w:val="1"/>
      <w:marLeft w:val="0"/>
      <w:marRight w:val="0"/>
      <w:marTop w:val="0"/>
      <w:marBottom w:val="0"/>
      <w:divBdr>
        <w:top w:val="none" w:sz="0" w:space="0" w:color="auto"/>
        <w:left w:val="none" w:sz="0" w:space="0" w:color="auto"/>
        <w:bottom w:val="none" w:sz="0" w:space="0" w:color="auto"/>
        <w:right w:val="none" w:sz="0" w:space="0" w:color="auto"/>
      </w:divBdr>
    </w:div>
    <w:div w:id="1097558099">
      <w:bodyDiv w:val="1"/>
      <w:marLeft w:val="0"/>
      <w:marRight w:val="0"/>
      <w:marTop w:val="0"/>
      <w:marBottom w:val="0"/>
      <w:divBdr>
        <w:top w:val="none" w:sz="0" w:space="0" w:color="auto"/>
        <w:left w:val="none" w:sz="0" w:space="0" w:color="auto"/>
        <w:bottom w:val="none" w:sz="0" w:space="0" w:color="auto"/>
        <w:right w:val="none" w:sz="0" w:space="0" w:color="auto"/>
      </w:divBdr>
    </w:div>
    <w:div w:id="1143498918">
      <w:bodyDiv w:val="1"/>
      <w:marLeft w:val="0"/>
      <w:marRight w:val="0"/>
      <w:marTop w:val="0"/>
      <w:marBottom w:val="0"/>
      <w:divBdr>
        <w:top w:val="none" w:sz="0" w:space="0" w:color="auto"/>
        <w:left w:val="none" w:sz="0" w:space="0" w:color="auto"/>
        <w:bottom w:val="none" w:sz="0" w:space="0" w:color="auto"/>
        <w:right w:val="none" w:sz="0" w:space="0" w:color="auto"/>
      </w:divBdr>
    </w:div>
    <w:div w:id="1161576529">
      <w:bodyDiv w:val="1"/>
      <w:marLeft w:val="0"/>
      <w:marRight w:val="0"/>
      <w:marTop w:val="0"/>
      <w:marBottom w:val="0"/>
      <w:divBdr>
        <w:top w:val="none" w:sz="0" w:space="0" w:color="auto"/>
        <w:left w:val="none" w:sz="0" w:space="0" w:color="auto"/>
        <w:bottom w:val="none" w:sz="0" w:space="0" w:color="auto"/>
        <w:right w:val="none" w:sz="0" w:space="0" w:color="auto"/>
      </w:divBdr>
    </w:div>
    <w:div w:id="1198588491">
      <w:bodyDiv w:val="1"/>
      <w:marLeft w:val="0"/>
      <w:marRight w:val="0"/>
      <w:marTop w:val="0"/>
      <w:marBottom w:val="0"/>
      <w:divBdr>
        <w:top w:val="none" w:sz="0" w:space="0" w:color="auto"/>
        <w:left w:val="none" w:sz="0" w:space="0" w:color="auto"/>
        <w:bottom w:val="none" w:sz="0" w:space="0" w:color="auto"/>
        <w:right w:val="none" w:sz="0" w:space="0" w:color="auto"/>
      </w:divBdr>
    </w:div>
    <w:div w:id="1261453703">
      <w:bodyDiv w:val="1"/>
      <w:marLeft w:val="0"/>
      <w:marRight w:val="0"/>
      <w:marTop w:val="0"/>
      <w:marBottom w:val="0"/>
      <w:divBdr>
        <w:top w:val="none" w:sz="0" w:space="0" w:color="auto"/>
        <w:left w:val="none" w:sz="0" w:space="0" w:color="auto"/>
        <w:bottom w:val="none" w:sz="0" w:space="0" w:color="auto"/>
        <w:right w:val="none" w:sz="0" w:space="0" w:color="auto"/>
      </w:divBdr>
    </w:div>
    <w:div w:id="1265185574">
      <w:bodyDiv w:val="1"/>
      <w:marLeft w:val="0"/>
      <w:marRight w:val="0"/>
      <w:marTop w:val="0"/>
      <w:marBottom w:val="0"/>
      <w:divBdr>
        <w:top w:val="none" w:sz="0" w:space="0" w:color="auto"/>
        <w:left w:val="none" w:sz="0" w:space="0" w:color="auto"/>
        <w:bottom w:val="none" w:sz="0" w:space="0" w:color="auto"/>
        <w:right w:val="none" w:sz="0" w:space="0" w:color="auto"/>
      </w:divBdr>
    </w:div>
    <w:div w:id="1284341464">
      <w:bodyDiv w:val="1"/>
      <w:marLeft w:val="0"/>
      <w:marRight w:val="0"/>
      <w:marTop w:val="0"/>
      <w:marBottom w:val="0"/>
      <w:divBdr>
        <w:top w:val="none" w:sz="0" w:space="0" w:color="auto"/>
        <w:left w:val="none" w:sz="0" w:space="0" w:color="auto"/>
        <w:bottom w:val="none" w:sz="0" w:space="0" w:color="auto"/>
        <w:right w:val="none" w:sz="0" w:space="0" w:color="auto"/>
      </w:divBdr>
    </w:div>
    <w:div w:id="1302805663">
      <w:bodyDiv w:val="1"/>
      <w:marLeft w:val="0"/>
      <w:marRight w:val="0"/>
      <w:marTop w:val="0"/>
      <w:marBottom w:val="0"/>
      <w:divBdr>
        <w:top w:val="none" w:sz="0" w:space="0" w:color="auto"/>
        <w:left w:val="none" w:sz="0" w:space="0" w:color="auto"/>
        <w:bottom w:val="none" w:sz="0" w:space="0" w:color="auto"/>
        <w:right w:val="none" w:sz="0" w:space="0" w:color="auto"/>
      </w:divBdr>
    </w:div>
    <w:div w:id="1318455060">
      <w:bodyDiv w:val="1"/>
      <w:marLeft w:val="0"/>
      <w:marRight w:val="0"/>
      <w:marTop w:val="0"/>
      <w:marBottom w:val="0"/>
      <w:divBdr>
        <w:top w:val="none" w:sz="0" w:space="0" w:color="auto"/>
        <w:left w:val="none" w:sz="0" w:space="0" w:color="auto"/>
        <w:bottom w:val="none" w:sz="0" w:space="0" w:color="auto"/>
        <w:right w:val="none" w:sz="0" w:space="0" w:color="auto"/>
      </w:divBdr>
    </w:div>
    <w:div w:id="1328942062">
      <w:bodyDiv w:val="1"/>
      <w:marLeft w:val="0"/>
      <w:marRight w:val="0"/>
      <w:marTop w:val="0"/>
      <w:marBottom w:val="0"/>
      <w:divBdr>
        <w:top w:val="none" w:sz="0" w:space="0" w:color="auto"/>
        <w:left w:val="none" w:sz="0" w:space="0" w:color="auto"/>
        <w:bottom w:val="none" w:sz="0" w:space="0" w:color="auto"/>
        <w:right w:val="none" w:sz="0" w:space="0" w:color="auto"/>
      </w:divBdr>
    </w:div>
    <w:div w:id="139488887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260683">
      <w:bodyDiv w:val="1"/>
      <w:marLeft w:val="0"/>
      <w:marRight w:val="0"/>
      <w:marTop w:val="0"/>
      <w:marBottom w:val="0"/>
      <w:divBdr>
        <w:top w:val="none" w:sz="0" w:space="0" w:color="auto"/>
        <w:left w:val="none" w:sz="0" w:space="0" w:color="auto"/>
        <w:bottom w:val="none" w:sz="0" w:space="0" w:color="auto"/>
        <w:right w:val="none" w:sz="0" w:space="0" w:color="auto"/>
      </w:divBdr>
    </w:div>
    <w:div w:id="1617713273">
      <w:bodyDiv w:val="1"/>
      <w:marLeft w:val="0"/>
      <w:marRight w:val="0"/>
      <w:marTop w:val="0"/>
      <w:marBottom w:val="0"/>
      <w:divBdr>
        <w:top w:val="none" w:sz="0" w:space="0" w:color="auto"/>
        <w:left w:val="none" w:sz="0" w:space="0" w:color="auto"/>
        <w:bottom w:val="none" w:sz="0" w:space="0" w:color="auto"/>
        <w:right w:val="none" w:sz="0" w:space="0" w:color="auto"/>
      </w:divBdr>
    </w:div>
    <w:div w:id="1780248443">
      <w:bodyDiv w:val="1"/>
      <w:marLeft w:val="0"/>
      <w:marRight w:val="0"/>
      <w:marTop w:val="0"/>
      <w:marBottom w:val="0"/>
      <w:divBdr>
        <w:top w:val="none" w:sz="0" w:space="0" w:color="auto"/>
        <w:left w:val="none" w:sz="0" w:space="0" w:color="auto"/>
        <w:bottom w:val="none" w:sz="0" w:space="0" w:color="auto"/>
        <w:right w:val="none" w:sz="0" w:space="0" w:color="auto"/>
      </w:divBdr>
    </w:div>
    <w:div w:id="1784766396">
      <w:bodyDiv w:val="1"/>
      <w:marLeft w:val="0"/>
      <w:marRight w:val="0"/>
      <w:marTop w:val="0"/>
      <w:marBottom w:val="0"/>
      <w:divBdr>
        <w:top w:val="none" w:sz="0" w:space="0" w:color="auto"/>
        <w:left w:val="none" w:sz="0" w:space="0" w:color="auto"/>
        <w:bottom w:val="none" w:sz="0" w:space="0" w:color="auto"/>
        <w:right w:val="none" w:sz="0" w:space="0" w:color="auto"/>
      </w:divBdr>
    </w:div>
    <w:div w:id="1804495574">
      <w:bodyDiv w:val="1"/>
      <w:marLeft w:val="0"/>
      <w:marRight w:val="0"/>
      <w:marTop w:val="0"/>
      <w:marBottom w:val="0"/>
      <w:divBdr>
        <w:top w:val="none" w:sz="0" w:space="0" w:color="auto"/>
        <w:left w:val="none" w:sz="0" w:space="0" w:color="auto"/>
        <w:bottom w:val="none" w:sz="0" w:space="0" w:color="auto"/>
        <w:right w:val="none" w:sz="0" w:space="0" w:color="auto"/>
      </w:divBdr>
    </w:div>
    <w:div w:id="1884830150">
      <w:bodyDiv w:val="1"/>
      <w:marLeft w:val="0"/>
      <w:marRight w:val="0"/>
      <w:marTop w:val="0"/>
      <w:marBottom w:val="0"/>
      <w:divBdr>
        <w:top w:val="none" w:sz="0" w:space="0" w:color="auto"/>
        <w:left w:val="none" w:sz="0" w:space="0" w:color="auto"/>
        <w:bottom w:val="none" w:sz="0" w:space="0" w:color="auto"/>
        <w:right w:val="none" w:sz="0" w:space="0" w:color="auto"/>
      </w:divBdr>
    </w:div>
    <w:div w:id="1910728951">
      <w:bodyDiv w:val="1"/>
      <w:marLeft w:val="0"/>
      <w:marRight w:val="0"/>
      <w:marTop w:val="0"/>
      <w:marBottom w:val="0"/>
      <w:divBdr>
        <w:top w:val="none" w:sz="0" w:space="0" w:color="auto"/>
        <w:left w:val="none" w:sz="0" w:space="0" w:color="auto"/>
        <w:bottom w:val="none" w:sz="0" w:space="0" w:color="auto"/>
        <w:right w:val="none" w:sz="0" w:space="0" w:color="auto"/>
      </w:divBdr>
    </w:div>
    <w:div w:id="1923031294">
      <w:bodyDiv w:val="1"/>
      <w:marLeft w:val="0"/>
      <w:marRight w:val="0"/>
      <w:marTop w:val="0"/>
      <w:marBottom w:val="0"/>
      <w:divBdr>
        <w:top w:val="none" w:sz="0" w:space="0" w:color="auto"/>
        <w:left w:val="none" w:sz="0" w:space="0" w:color="auto"/>
        <w:bottom w:val="none" w:sz="0" w:space="0" w:color="auto"/>
        <w:right w:val="none" w:sz="0" w:space="0" w:color="auto"/>
      </w:divBdr>
    </w:div>
    <w:div w:id="1926912788">
      <w:bodyDiv w:val="1"/>
      <w:marLeft w:val="0"/>
      <w:marRight w:val="0"/>
      <w:marTop w:val="0"/>
      <w:marBottom w:val="0"/>
      <w:divBdr>
        <w:top w:val="none" w:sz="0" w:space="0" w:color="auto"/>
        <w:left w:val="none" w:sz="0" w:space="0" w:color="auto"/>
        <w:bottom w:val="none" w:sz="0" w:space="0" w:color="auto"/>
        <w:right w:val="none" w:sz="0" w:space="0" w:color="auto"/>
      </w:divBdr>
    </w:div>
    <w:div w:id="1960331261">
      <w:bodyDiv w:val="1"/>
      <w:marLeft w:val="0"/>
      <w:marRight w:val="0"/>
      <w:marTop w:val="0"/>
      <w:marBottom w:val="0"/>
      <w:divBdr>
        <w:top w:val="none" w:sz="0" w:space="0" w:color="auto"/>
        <w:left w:val="none" w:sz="0" w:space="0" w:color="auto"/>
        <w:bottom w:val="none" w:sz="0" w:space="0" w:color="auto"/>
        <w:right w:val="none" w:sz="0" w:space="0" w:color="auto"/>
      </w:divBdr>
    </w:div>
    <w:div w:id="2028291630">
      <w:bodyDiv w:val="1"/>
      <w:marLeft w:val="0"/>
      <w:marRight w:val="0"/>
      <w:marTop w:val="0"/>
      <w:marBottom w:val="0"/>
      <w:divBdr>
        <w:top w:val="none" w:sz="0" w:space="0" w:color="auto"/>
        <w:left w:val="none" w:sz="0" w:space="0" w:color="auto"/>
        <w:bottom w:val="none" w:sz="0" w:space="0" w:color="auto"/>
        <w:right w:val="none" w:sz="0" w:space="0" w:color="auto"/>
      </w:divBdr>
    </w:div>
    <w:div w:id="2037343546">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 w:id="2057194385">
      <w:bodyDiv w:val="1"/>
      <w:marLeft w:val="0"/>
      <w:marRight w:val="0"/>
      <w:marTop w:val="0"/>
      <w:marBottom w:val="0"/>
      <w:divBdr>
        <w:top w:val="none" w:sz="0" w:space="0" w:color="auto"/>
        <w:left w:val="none" w:sz="0" w:space="0" w:color="auto"/>
        <w:bottom w:val="none" w:sz="0" w:space="0" w:color="auto"/>
        <w:right w:val="none" w:sz="0" w:space="0" w:color="auto"/>
      </w:divBdr>
    </w:div>
    <w:div w:id="212194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tvp.de/Cente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si.de/data-protection" TargetMode="External"/><Relationship Id="rId4" Type="http://schemas.openxmlformats.org/officeDocument/2006/relationships/settings" Target="settings.xml"/><Relationship Id="rId9" Type="http://schemas.openxmlformats.org/officeDocument/2006/relationships/hyperlink" Target="http://www.bundeskartellamt.de/SharedDocs/Kontaktdaten/DE/Vergabekammern.htm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Desktop\$$$%20WORK%20%20etc\Work_Present\TRANSLATION_EDITING\Accadia\Bewerbungsbedingungen%20FAIR%20VgV\FAIR_Bewerbungsbedingungen_Nicht%20Off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A8CA-5E8B-4599-8F4A-C35F70DF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FAIR_Bewerbungsbedingungen_Nicht Offen.dotx</Template>
  <TotalTime>0</TotalTime>
  <Pages>8</Pages>
  <Words>2009</Words>
  <Characters>12658</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dc:creator>
  <cp:lastModifiedBy>Neumayer, Bernhard</cp:lastModifiedBy>
  <cp:revision>2</cp:revision>
  <cp:lastPrinted>2016-04-06T09:15:00Z</cp:lastPrinted>
  <dcterms:created xsi:type="dcterms:W3CDTF">2026-08-13T12:03:00Z</dcterms:created>
  <dcterms:modified xsi:type="dcterms:W3CDTF">2026-08-13T12:03:00Z</dcterms:modified>
</cp:coreProperties>
</file>